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D59" w:rsidP="7665F958" w:rsidRDefault="00D80D59" w14:paraId="7AA1E641" w14:textId="1FA7FF04"/>
    <w:p w:rsidR="006A208F" w:rsidP="7665F958" w:rsidRDefault="006A208F" w14:paraId="0F45F3B0" w14:textId="77777777"/>
    <w:p w:rsidR="009952DE" w:rsidP="7665F958" w:rsidRDefault="009952DE" w14:paraId="180DC87A" w14:textId="77777777"/>
    <w:p w:rsidR="009952DE" w:rsidP="7665F958" w:rsidRDefault="009952DE" w14:paraId="0405A56C" w14:textId="77777777"/>
    <w:p w:rsidRPr="00AB5DCF" w:rsidR="00D80D59" w:rsidP="00D80D59" w:rsidRDefault="00AB5DCF" w14:paraId="089B841E" w14:textId="18CA185D">
      <w:pPr>
        <w:jc w:val="center"/>
        <w:rPr>
          <w:b/>
          <w:bCs/>
          <w:color w:val="196B24" w:themeColor="accent3"/>
          <w:sz w:val="72"/>
          <w:szCs w:val="72"/>
        </w:rPr>
      </w:pPr>
      <w:r w:rsidRPr="6EA76C00">
        <w:rPr>
          <w:b/>
          <w:bCs/>
          <w:color w:val="196B24" w:themeColor="accent3"/>
          <w:sz w:val="72"/>
          <w:szCs w:val="72"/>
        </w:rPr>
        <w:t>GOAL Global</w:t>
      </w:r>
    </w:p>
    <w:p w:rsidR="00F05414" w:rsidP="00F05414" w:rsidRDefault="60A0D9E3" w14:paraId="452EC589" w14:textId="77777777">
      <w:pPr>
        <w:spacing w:after="0"/>
        <w:jc w:val="center"/>
        <w:rPr>
          <w:rFonts w:eastAsiaTheme="minorEastAsia"/>
          <w:b/>
          <w:bCs/>
          <w:color w:val="196B24" w:themeColor="accent3"/>
          <w:sz w:val="48"/>
          <w:szCs w:val="48"/>
        </w:rPr>
      </w:pPr>
      <w:r w:rsidRPr="6EA76C00">
        <w:rPr>
          <w:b/>
          <w:bCs/>
          <w:color w:val="196B24" w:themeColor="accent3"/>
          <w:sz w:val="48"/>
          <w:szCs w:val="48"/>
        </w:rPr>
        <w:t>A</w:t>
      </w:r>
      <w:r w:rsidRPr="6EA76C00" w:rsidR="00315A83">
        <w:rPr>
          <w:b/>
          <w:bCs/>
          <w:color w:val="196B24" w:themeColor="accent3"/>
          <w:sz w:val="48"/>
          <w:szCs w:val="48"/>
        </w:rPr>
        <w:t>ppendix</w:t>
      </w:r>
      <w:r w:rsidRPr="6EA76C00">
        <w:rPr>
          <w:b/>
          <w:bCs/>
          <w:color w:val="196B24" w:themeColor="accent3"/>
          <w:sz w:val="48"/>
          <w:szCs w:val="48"/>
        </w:rPr>
        <w:t xml:space="preserve"> </w:t>
      </w:r>
      <w:r w:rsidRPr="6EA76C00" w:rsidR="454FC522">
        <w:rPr>
          <w:b/>
          <w:bCs/>
          <w:color w:val="196B24" w:themeColor="accent3"/>
          <w:sz w:val="48"/>
          <w:szCs w:val="48"/>
        </w:rPr>
        <w:t xml:space="preserve">3 </w:t>
      </w:r>
      <w:r w:rsidR="00894E3E">
        <w:rPr>
          <w:b/>
          <w:bCs/>
          <w:color w:val="196B24" w:themeColor="accent3"/>
          <w:sz w:val="48"/>
          <w:szCs w:val="48"/>
        </w:rPr>
        <w:t xml:space="preserve">- </w:t>
      </w:r>
      <w:r w:rsidRPr="6EA76C00" w:rsidR="454FC522">
        <w:rPr>
          <w:rFonts w:eastAsiaTheme="minorEastAsia"/>
          <w:b/>
          <w:bCs/>
          <w:color w:val="196B24" w:themeColor="accent3"/>
          <w:sz w:val="48"/>
          <w:szCs w:val="48"/>
        </w:rPr>
        <w:t>GOAL Country Emission Standards</w:t>
      </w:r>
      <w:r w:rsidR="00F05414">
        <w:rPr>
          <w:rFonts w:eastAsiaTheme="minorEastAsia"/>
          <w:b/>
          <w:bCs/>
          <w:color w:val="196B24" w:themeColor="accent3"/>
          <w:sz w:val="48"/>
          <w:szCs w:val="48"/>
        </w:rPr>
        <w:t xml:space="preserve"> </w:t>
      </w:r>
    </w:p>
    <w:p w:rsidR="2686DBFF" w:rsidP="17A467D3" w:rsidRDefault="2686DBFF" w14:paraId="6F8F5D73" w14:textId="069E3996">
      <w:pPr>
        <w:jc w:val="center"/>
        <w:rPr>
          <w:b w:val="1"/>
          <w:bCs w:val="1"/>
          <w:color w:val="196B24" w:themeColor="accent3" w:themeTint="FF" w:themeShade="FF"/>
          <w:sz w:val="48"/>
          <w:szCs w:val="48"/>
        </w:rPr>
      </w:pPr>
      <w:r w:rsidRPr="17A467D3" w:rsidR="2686DBFF">
        <w:rPr>
          <w:rFonts w:eastAsia="游明朝" w:eastAsiaTheme="minorEastAsia"/>
          <w:b w:val="1"/>
          <w:bCs w:val="1"/>
          <w:color w:val="196B24" w:themeColor="accent3" w:themeTint="FF" w:themeShade="FF"/>
          <w:sz w:val="48"/>
          <w:szCs w:val="48"/>
        </w:rPr>
        <w:t>and vehicle demand forecast</w:t>
      </w:r>
      <w:r w:rsidRPr="17A467D3" w:rsidR="78010D0E">
        <w:rPr>
          <w:rFonts w:eastAsia="游明朝" w:eastAsiaTheme="minorEastAsia"/>
          <w:b w:val="1"/>
          <w:bCs w:val="1"/>
          <w:color w:val="196B24" w:themeColor="accent3" w:themeTint="FF" w:themeShade="FF"/>
          <w:sz w:val="48"/>
          <w:szCs w:val="48"/>
        </w:rPr>
        <w:t xml:space="preserve"> </w:t>
      </w:r>
    </w:p>
    <w:p w:rsidR="77D786BD" w:rsidP="17A467D3" w:rsidRDefault="77D786BD" w14:paraId="7DDD3275" w14:textId="086DA32A">
      <w:pPr>
        <w:jc w:val="center"/>
        <w:rPr>
          <w:b w:val="1"/>
          <w:bCs w:val="1"/>
          <w:color w:val="196B24" w:themeColor="accent3" w:themeTint="FF" w:themeShade="FF"/>
          <w:sz w:val="48"/>
          <w:szCs w:val="48"/>
        </w:rPr>
      </w:pPr>
      <w:r w:rsidRPr="17A467D3" w:rsidR="77D786BD">
        <w:rPr>
          <w:b w:val="1"/>
          <w:bCs w:val="1"/>
          <w:noProof w:val="0"/>
          <w:color w:val="196B24" w:themeColor="accent3" w:themeTint="FF" w:themeShade="FF"/>
          <w:sz w:val="40"/>
          <w:szCs w:val="40"/>
          <w:lang w:val="en-IE"/>
        </w:rPr>
        <w:t>REF: IRL- LGD</w:t>
      </w:r>
      <w:r w:rsidRPr="17A467D3" w:rsidR="0B3911B3">
        <w:rPr>
          <w:b w:val="1"/>
          <w:bCs w:val="1"/>
          <w:noProof w:val="0"/>
          <w:color w:val="196B24" w:themeColor="accent3" w:themeTint="FF" w:themeShade="FF"/>
          <w:sz w:val="40"/>
          <w:szCs w:val="40"/>
          <w:lang w:val="en-IE"/>
        </w:rPr>
        <w:t xml:space="preserve"> – </w:t>
      </w:r>
      <w:r w:rsidRPr="17A467D3" w:rsidR="77D786BD">
        <w:rPr>
          <w:b w:val="1"/>
          <w:bCs w:val="1"/>
          <w:noProof w:val="0"/>
          <w:color w:val="196B24" w:themeColor="accent3" w:themeTint="FF" w:themeShade="FF"/>
          <w:sz w:val="40"/>
          <w:szCs w:val="40"/>
          <w:lang w:val="en-IE"/>
        </w:rPr>
        <w:t>40834</w:t>
      </w:r>
    </w:p>
    <w:p w:rsidR="0B3911B3" w:rsidP="17A467D3" w:rsidRDefault="0B3911B3" w14:paraId="267C462D" w14:textId="19143FAB">
      <w:pPr>
        <w:pStyle w:val="Header"/>
        <w:tabs>
          <w:tab w:val="center" w:leader="none" w:pos="4513"/>
          <w:tab w:val="right" w:leader="none" w:pos="9026"/>
        </w:tabs>
        <w:bidi w:val="0"/>
        <w:spacing w:after="0" w:line="240" w:lineRule="auto"/>
        <w:jc w:val="center"/>
        <w:rPr>
          <w:rFonts w:ascii="Aptos" w:hAnsi="Aptos" w:eastAsia="Aptos" w:cs="Arial" w:asciiTheme="minorAscii" w:hAnsiTheme="minorAscii" w:eastAsiaTheme="minorAscii" w:cstheme="minorBidi"/>
          <w:b w:val="1"/>
          <w:bCs w:val="1"/>
          <w:noProof w:val="0"/>
          <w:color w:val="196B24" w:themeColor="accent3" w:themeTint="FF" w:themeShade="FF"/>
          <w:sz w:val="40"/>
          <w:szCs w:val="40"/>
          <w:lang w:val="en-IE" w:eastAsia="en-US" w:bidi="ar-SA"/>
        </w:rPr>
      </w:pPr>
      <w:r w:rsidRPr="17A467D3" w:rsidR="0B3911B3">
        <w:rPr>
          <w:rFonts w:ascii="Aptos" w:hAnsi="Aptos" w:eastAsia="Aptos" w:cs="Arial" w:asciiTheme="minorAscii" w:hAnsiTheme="minorAscii" w:eastAsiaTheme="minorAscii" w:cstheme="minorBidi"/>
          <w:b w:val="1"/>
          <w:bCs w:val="1"/>
          <w:noProof w:val="0"/>
          <w:color w:val="196B24" w:themeColor="accent3" w:themeTint="FF" w:themeShade="FF"/>
          <w:sz w:val="40"/>
          <w:szCs w:val="40"/>
          <w:lang w:val="en-IE" w:eastAsia="en-US" w:bidi="ar-SA"/>
        </w:rPr>
        <w:t>ITT Ref: IRL-LGD-40834 Framework Agreement for the Supply of Global Vehicles and Telematics</w:t>
      </w:r>
    </w:p>
    <w:p w:rsidR="17A467D3" w:rsidP="17A467D3" w:rsidRDefault="17A467D3" w14:paraId="117C855C" w14:textId="62C6410E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center"/>
        <w:rPr>
          <w:b w:val="1"/>
          <w:bCs w:val="1"/>
          <w:noProof w:val="0"/>
          <w:color w:val="196B24" w:themeColor="accent3" w:themeTint="FF" w:themeShade="FF"/>
          <w:sz w:val="40"/>
          <w:szCs w:val="40"/>
          <w:lang w:val="en-IE"/>
        </w:rPr>
      </w:pPr>
    </w:p>
    <w:p w:rsidR="000B502E" w:rsidP="6EA76C00" w:rsidRDefault="00B71F28" w14:paraId="30FC3263" w14:textId="7FB6285F">
      <w:pPr>
        <w:spacing w:after="0"/>
        <w:jc w:val="center"/>
        <w:rPr>
          <w:b w:val="1"/>
          <w:bCs w:val="1"/>
          <w:color w:val="196B24" w:themeColor="accent3"/>
          <w:sz w:val="40"/>
          <w:szCs w:val="40"/>
        </w:rPr>
      </w:pPr>
      <w:r w:rsidRPr="17A467D3" w:rsidR="77D786BD">
        <w:rPr>
          <w:b w:val="1"/>
          <w:bCs w:val="1"/>
          <w:color w:val="196B24" w:themeColor="accent3" w:themeTint="FF" w:themeShade="FF"/>
          <w:sz w:val="40"/>
          <w:szCs w:val="40"/>
        </w:rPr>
        <w:t xml:space="preserve">September </w:t>
      </w:r>
      <w:r w:rsidRPr="17A467D3" w:rsidR="3CEF30B9">
        <w:rPr>
          <w:b w:val="1"/>
          <w:bCs w:val="1"/>
          <w:color w:val="196B24" w:themeColor="accent3" w:themeTint="FF" w:themeShade="FF"/>
          <w:sz w:val="40"/>
          <w:szCs w:val="40"/>
        </w:rPr>
        <w:t>2025</w:t>
      </w:r>
    </w:p>
    <w:p w:rsidR="000C3E17" w:rsidP="6EA76C00" w:rsidRDefault="000C3E17" w14:paraId="35429035" w14:textId="77777777">
      <w:pPr>
        <w:spacing w:after="0"/>
        <w:jc w:val="center"/>
        <w:rPr>
          <w:b/>
          <w:bCs/>
          <w:color w:val="196B24" w:themeColor="accent3"/>
          <w:sz w:val="40"/>
          <w:szCs w:val="40"/>
        </w:rPr>
      </w:pPr>
    </w:p>
    <w:p w:rsidR="000C3E17" w:rsidP="6EA76C00" w:rsidRDefault="000C3E17" w14:paraId="6A621B46" w14:textId="77777777">
      <w:pPr>
        <w:spacing w:after="0"/>
        <w:jc w:val="center"/>
        <w:rPr>
          <w:b/>
          <w:bCs/>
          <w:color w:val="196B24" w:themeColor="accent3"/>
          <w:sz w:val="40"/>
          <w:szCs w:val="40"/>
        </w:rPr>
      </w:pPr>
    </w:p>
    <w:p w:rsidR="000C3E17" w:rsidP="6EA76C00" w:rsidRDefault="000C3E17" w14:paraId="04356DF3" w14:textId="77777777">
      <w:pPr>
        <w:spacing w:after="0"/>
        <w:jc w:val="center"/>
        <w:rPr>
          <w:b/>
          <w:bCs/>
          <w:color w:val="196B24" w:themeColor="accent3"/>
          <w:sz w:val="40"/>
          <w:szCs w:val="40"/>
        </w:rPr>
      </w:pPr>
    </w:p>
    <w:p w:rsidR="000C3E17" w:rsidP="6EA76C00" w:rsidRDefault="000C3E17" w14:paraId="56E930BC" w14:textId="77777777">
      <w:pPr>
        <w:spacing w:after="0"/>
        <w:jc w:val="center"/>
        <w:rPr>
          <w:b/>
          <w:bCs/>
          <w:color w:val="196B24" w:themeColor="accent3"/>
          <w:sz w:val="40"/>
          <w:szCs w:val="40"/>
        </w:rPr>
      </w:pPr>
    </w:p>
    <w:p w:rsidR="000C3E17" w:rsidP="6EA76C00" w:rsidRDefault="000C3E17" w14:paraId="47A2D485" w14:textId="77777777">
      <w:pPr>
        <w:spacing w:after="0"/>
        <w:jc w:val="center"/>
        <w:rPr>
          <w:b/>
          <w:bCs/>
          <w:color w:val="196B24" w:themeColor="accent3"/>
          <w:sz w:val="40"/>
          <w:szCs w:val="40"/>
        </w:rPr>
      </w:pPr>
    </w:p>
    <w:p w:rsidR="000C3E17" w:rsidP="6EA76C00" w:rsidRDefault="000C3E17" w14:paraId="77ED8AD5" w14:textId="77777777">
      <w:pPr>
        <w:spacing w:after="0"/>
        <w:jc w:val="center"/>
        <w:rPr>
          <w:b/>
          <w:bCs/>
          <w:color w:val="196B24" w:themeColor="accent3"/>
          <w:sz w:val="40"/>
          <w:szCs w:val="40"/>
        </w:rPr>
      </w:pPr>
    </w:p>
    <w:p w:rsidR="00894E3E" w:rsidP="6EA76C00" w:rsidRDefault="00894E3E" w14:paraId="2D6E240F" w14:textId="77777777">
      <w:pPr>
        <w:spacing w:after="0"/>
        <w:jc w:val="center"/>
        <w:rPr>
          <w:b/>
          <w:bCs/>
          <w:color w:val="196B24" w:themeColor="accent3"/>
          <w:sz w:val="40"/>
          <w:szCs w:val="40"/>
        </w:rPr>
      </w:pPr>
    </w:p>
    <w:p w:rsidR="00B71F28" w:rsidP="00B71F28" w:rsidRDefault="0070098F" w14:paraId="75B8CEAF" w14:textId="3BBAF1FF">
      <w:pPr>
        <w:spacing w:after="0"/>
        <w:ind w:left="-284"/>
        <w:rPr>
          <w:b w:val="1"/>
          <w:bCs w:val="1"/>
          <w:color w:val="196B24" w:themeColor="accent3"/>
          <w:sz w:val="40"/>
          <w:szCs w:val="40"/>
        </w:rPr>
      </w:pPr>
      <w:r w:rsidRPr="17A467D3" w:rsidR="28AB6ECF">
        <w:rPr>
          <w:b w:val="1"/>
          <w:bCs w:val="1"/>
          <w:color w:val="196B24" w:themeColor="accent3" w:themeTint="FF" w:themeShade="FF"/>
          <w:sz w:val="40"/>
          <w:szCs w:val="40"/>
        </w:rPr>
        <w:t>GOAL Country</w:t>
      </w:r>
      <w:r w:rsidRPr="17A467D3" w:rsidR="4EAEC3F1">
        <w:rPr>
          <w:b w:val="1"/>
          <w:bCs w:val="1"/>
          <w:color w:val="196B24" w:themeColor="accent3" w:themeTint="FF" w:themeShade="FF"/>
          <w:sz w:val="40"/>
          <w:szCs w:val="40"/>
        </w:rPr>
        <w:t xml:space="preserve"> Fleet Details</w:t>
      </w:r>
      <w:r w:rsidRPr="17A467D3" w:rsidR="4DD72936">
        <w:rPr>
          <w:b w:val="1"/>
          <w:bCs w:val="1"/>
          <w:color w:val="196B24" w:themeColor="accent3" w:themeTint="FF" w:themeShade="FF"/>
          <w:sz w:val="40"/>
          <w:szCs w:val="40"/>
        </w:rPr>
        <w:t xml:space="preserve"> - </w:t>
      </w:r>
    </w:p>
    <w:p w:rsidRPr="00B71F28" w:rsidR="00B71F28" w:rsidP="00B71F28" w:rsidRDefault="00B71F28" w14:paraId="6EFF8D21" w14:textId="77777777">
      <w:pPr>
        <w:spacing w:after="0"/>
        <w:ind w:left="-284"/>
        <w:rPr>
          <w:b/>
          <w:bCs/>
          <w:color w:val="196B24" w:themeColor="accent3"/>
          <w:sz w:val="12"/>
          <w:szCs w:val="12"/>
        </w:rPr>
      </w:pP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1647"/>
        <w:gridCol w:w="914"/>
        <w:gridCol w:w="2354"/>
        <w:gridCol w:w="994"/>
        <w:gridCol w:w="1169"/>
        <w:gridCol w:w="1323"/>
        <w:gridCol w:w="1400"/>
        <w:gridCol w:w="4658"/>
      </w:tblGrid>
      <w:tr w:rsidR="008E556B" w:rsidTr="0070098F" w14:paraId="48BBF87C" w14:textId="77777777">
        <w:trPr>
          <w:trHeight w:val="300"/>
        </w:trPr>
        <w:tc>
          <w:tcPr>
            <w:tcW w:w="1647" w:type="dxa"/>
            <w:vMerge w:val="restart"/>
            <w:shd w:val="clear" w:color="auto" w:fill="196B24" w:themeFill="accent3"/>
          </w:tcPr>
          <w:p w:rsidRPr="00225ECA" w:rsidR="008E556B" w:rsidP="00A83B21" w:rsidRDefault="008E556B" w14:paraId="3C62C181" w14:textId="10257F2E">
            <w:pPr>
              <w:rPr>
                <w:b/>
                <w:bCs/>
                <w:color w:val="FFFFFF" w:themeColor="background1"/>
              </w:rPr>
            </w:pPr>
            <w:r w:rsidRPr="00225ECA">
              <w:rPr>
                <w:b/>
                <w:bCs/>
                <w:color w:val="FFFFFF" w:themeColor="background1"/>
              </w:rPr>
              <w:t>Country</w:t>
            </w:r>
          </w:p>
        </w:tc>
        <w:tc>
          <w:tcPr>
            <w:tcW w:w="914" w:type="dxa"/>
            <w:vMerge w:val="restart"/>
            <w:shd w:val="clear" w:color="auto" w:fill="196B24" w:themeFill="accent3"/>
          </w:tcPr>
          <w:p w:rsidRPr="08675261" w:rsidR="008E556B" w:rsidP="00A83B21" w:rsidRDefault="008E556B" w14:paraId="33A639A5" w14:textId="62C786DC">
            <w:pPr>
              <w:jc w:val="center"/>
              <w:rPr>
                <w:b/>
                <w:bCs/>
                <w:color w:val="FFFFFF" w:themeColor="background1"/>
              </w:rPr>
            </w:pPr>
            <w:r w:rsidRPr="08675261">
              <w:rPr>
                <w:b/>
                <w:bCs/>
                <w:color w:val="FFFFFF" w:themeColor="background1"/>
              </w:rPr>
              <w:t>Hand Steer*</w:t>
            </w:r>
          </w:p>
        </w:tc>
        <w:tc>
          <w:tcPr>
            <w:tcW w:w="2354" w:type="dxa"/>
            <w:vMerge w:val="restart"/>
            <w:shd w:val="clear" w:color="auto" w:fill="196B24" w:themeFill="accent3"/>
          </w:tcPr>
          <w:p w:rsidR="008E556B" w:rsidP="00803248" w:rsidRDefault="008E556B" w14:paraId="0AFE493C" w14:textId="61DCD49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Import Restrictions on Vehicle Fuel Type*</w:t>
            </w:r>
          </w:p>
        </w:tc>
        <w:tc>
          <w:tcPr>
            <w:tcW w:w="994" w:type="dxa"/>
            <w:vMerge w:val="restart"/>
            <w:shd w:val="clear" w:color="auto" w:fill="196B24" w:themeFill="accent3"/>
          </w:tcPr>
          <w:p w:rsidR="008E556B" w:rsidP="00A83B21" w:rsidRDefault="008E556B" w14:paraId="584C318D" w14:textId="7B39206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PPM </w:t>
            </w:r>
            <w:r w:rsidRPr="00225ECA">
              <w:rPr>
                <w:b/>
                <w:bCs/>
                <w:color w:val="FFFFFF" w:themeColor="background1"/>
              </w:rPr>
              <w:t xml:space="preserve">Fuel </w:t>
            </w:r>
            <w:proofErr w:type="spellStart"/>
            <w:r w:rsidRPr="00225ECA">
              <w:rPr>
                <w:b/>
                <w:bCs/>
                <w:color w:val="FFFFFF" w:themeColor="background1"/>
              </w:rPr>
              <w:t>Sulfur</w:t>
            </w:r>
            <w:proofErr w:type="spellEnd"/>
            <w:r>
              <w:rPr>
                <w:b/>
                <w:bCs/>
                <w:color w:val="FFFFFF" w:themeColor="background1"/>
              </w:rPr>
              <w:t>*</w:t>
            </w:r>
            <w:r w:rsidRPr="00225ECA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492" w:type="dxa"/>
            <w:gridSpan w:val="2"/>
            <w:shd w:val="clear" w:color="auto" w:fill="196B24" w:themeFill="accent3"/>
            <w:vAlign w:val="center"/>
          </w:tcPr>
          <w:p w:rsidRPr="08675261" w:rsidR="008E556B" w:rsidP="08675261" w:rsidRDefault="008E556B" w14:paraId="26A2C8BA" w14:textId="6CFEA47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Current Fleet Size</w:t>
            </w:r>
          </w:p>
        </w:tc>
        <w:tc>
          <w:tcPr>
            <w:tcW w:w="1400" w:type="dxa"/>
            <w:vMerge w:val="restart"/>
            <w:shd w:val="clear" w:color="auto" w:fill="196B24" w:themeFill="accent3"/>
            <w:vAlign w:val="center"/>
          </w:tcPr>
          <w:p w:rsidRPr="4454E4C8" w:rsidR="008E556B" w:rsidP="00A83B21" w:rsidRDefault="008E556B" w14:paraId="4DFB3E58" w14:textId="36F51B8C">
            <w:pPr>
              <w:jc w:val="center"/>
              <w:rPr>
                <w:b/>
                <w:bCs/>
                <w:color w:val="FFFFFF" w:themeColor="background1"/>
              </w:rPr>
            </w:pPr>
            <w:r w:rsidRPr="4454E4C8">
              <w:rPr>
                <w:b/>
                <w:bCs/>
                <w:color w:val="FFFFFF" w:themeColor="background1"/>
              </w:rPr>
              <w:t>Average Annual Mileage</w:t>
            </w:r>
          </w:p>
        </w:tc>
        <w:tc>
          <w:tcPr>
            <w:tcW w:w="4658" w:type="dxa"/>
            <w:vMerge w:val="restart"/>
            <w:shd w:val="clear" w:color="auto" w:fill="196B24" w:themeFill="accent3"/>
          </w:tcPr>
          <w:p w:rsidR="008E556B" w:rsidP="00A83B21" w:rsidRDefault="008E556B" w14:paraId="3A938757" w14:textId="46E23A9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Indication of Road Conditions – typical </w:t>
            </w:r>
            <w:r w:rsidRPr="00225ECA">
              <w:rPr>
                <w:b/>
                <w:bCs/>
                <w:color w:val="FFFFFF" w:themeColor="background1"/>
              </w:rPr>
              <w:t>GOAL Areas of Operation</w:t>
            </w:r>
          </w:p>
        </w:tc>
      </w:tr>
      <w:tr w:rsidR="008E556B" w:rsidTr="0070098F" w14:paraId="5BE37F37" w14:textId="77777777">
        <w:trPr>
          <w:trHeight w:val="300"/>
        </w:trPr>
        <w:tc>
          <w:tcPr>
            <w:tcW w:w="1647" w:type="dxa"/>
            <w:vMerge/>
            <w:shd w:val="clear" w:color="auto" w:fill="196B24" w:themeFill="accent3"/>
          </w:tcPr>
          <w:p w:rsidRPr="00225ECA" w:rsidR="008E556B" w:rsidP="00A83B21" w:rsidRDefault="008E556B" w14:paraId="33A9EC4B" w14:textId="1A0C7EB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914" w:type="dxa"/>
            <w:vMerge/>
            <w:shd w:val="clear" w:color="auto" w:fill="196B24" w:themeFill="accent3"/>
          </w:tcPr>
          <w:p w:rsidRPr="00225ECA" w:rsidR="008E556B" w:rsidP="00A83B21" w:rsidRDefault="008E556B" w14:paraId="1D6DC9D7" w14:textId="57DFDD4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54" w:type="dxa"/>
            <w:vMerge/>
            <w:shd w:val="clear" w:color="auto" w:fill="196B24" w:themeFill="accent3"/>
          </w:tcPr>
          <w:p w:rsidRPr="00225ECA" w:rsidR="008E556B" w:rsidP="00803248" w:rsidRDefault="008E556B" w14:paraId="45F2ED74" w14:textId="6F239B2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4" w:type="dxa"/>
            <w:vMerge/>
            <w:shd w:val="clear" w:color="auto" w:fill="196B24" w:themeFill="accent3"/>
          </w:tcPr>
          <w:p w:rsidRPr="00225ECA" w:rsidR="008E556B" w:rsidP="00A83B21" w:rsidRDefault="008E556B" w14:paraId="17E4FB86" w14:textId="40816A4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69" w:type="dxa"/>
            <w:shd w:val="clear" w:color="auto" w:fill="196B24" w:themeFill="accent3"/>
            <w:vAlign w:val="center"/>
          </w:tcPr>
          <w:p w:rsidR="008E556B" w:rsidP="00A72672" w:rsidRDefault="008E556B" w14:paraId="6B095BBA" w14:textId="4F0388FA">
            <w:pPr>
              <w:jc w:val="center"/>
            </w:pPr>
            <w:r w:rsidRPr="08675261">
              <w:rPr>
                <w:b/>
                <w:bCs/>
                <w:color w:val="FFFFFF" w:themeColor="background1"/>
              </w:rPr>
              <w:t>Vehicle</w:t>
            </w:r>
          </w:p>
        </w:tc>
        <w:tc>
          <w:tcPr>
            <w:tcW w:w="1323" w:type="dxa"/>
            <w:shd w:val="clear" w:color="auto" w:fill="196B24" w:themeFill="accent3"/>
            <w:vAlign w:val="center"/>
          </w:tcPr>
          <w:p w:rsidR="008E556B" w:rsidP="08675261" w:rsidRDefault="008E556B" w14:paraId="223D8A83" w14:textId="685B125A">
            <w:pPr>
              <w:jc w:val="center"/>
              <w:rPr>
                <w:b/>
                <w:bCs/>
                <w:color w:val="FFFFFF" w:themeColor="background1"/>
              </w:rPr>
            </w:pPr>
            <w:r w:rsidRPr="08675261">
              <w:rPr>
                <w:b/>
                <w:bCs/>
                <w:color w:val="FFFFFF" w:themeColor="background1"/>
              </w:rPr>
              <w:t>Motorbike</w:t>
            </w:r>
          </w:p>
        </w:tc>
        <w:tc>
          <w:tcPr>
            <w:tcW w:w="1400" w:type="dxa"/>
            <w:vMerge/>
            <w:shd w:val="clear" w:color="auto" w:fill="196B24" w:themeFill="accent3"/>
            <w:vAlign w:val="center"/>
          </w:tcPr>
          <w:p w:rsidRPr="00225ECA" w:rsidR="008E556B" w:rsidP="00A83B21" w:rsidRDefault="008E556B" w14:paraId="6A86D6E6" w14:textId="7BCF2A06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658" w:type="dxa"/>
            <w:vMerge/>
            <w:shd w:val="clear" w:color="auto" w:fill="196B24" w:themeFill="accent3"/>
          </w:tcPr>
          <w:p w:rsidRPr="00225ECA" w:rsidR="008E556B" w:rsidP="00A83B21" w:rsidRDefault="008E556B" w14:paraId="51EF141D" w14:textId="3B623599">
            <w:pPr>
              <w:rPr>
                <w:b/>
                <w:bCs/>
                <w:color w:val="FFFFFF" w:themeColor="background1"/>
              </w:rPr>
            </w:pPr>
          </w:p>
        </w:tc>
      </w:tr>
      <w:tr w:rsidR="00A72672" w:rsidTr="0070098F" w14:paraId="33394281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4194434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Chad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6FE62D58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135DFC10" w14:textId="78DC26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 be Euro IV</w:t>
            </w: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6C668366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166</w:t>
            </w:r>
          </w:p>
        </w:tc>
        <w:tc>
          <w:tcPr>
            <w:tcW w:w="1169" w:type="dxa"/>
            <w:vAlign w:val="center"/>
          </w:tcPr>
          <w:p w:rsidR="08675261" w:rsidP="08675261" w:rsidRDefault="001964AA" w14:paraId="764E63CA" w14:textId="23C7E72A">
            <w:pPr>
              <w:jc w:val="center"/>
            </w:pPr>
            <w:r>
              <w:t>0</w:t>
            </w:r>
          </w:p>
        </w:tc>
        <w:tc>
          <w:tcPr>
            <w:tcW w:w="1323" w:type="dxa"/>
            <w:vAlign w:val="center"/>
          </w:tcPr>
          <w:p w:rsidR="08675261" w:rsidP="08675261" w:rsidRDefault="001964AA" w14:paraId="5E519617" w14:textId="46FBEF81">
            <w:pPr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6F595DC7" w14:paraId="2E47A2A8" w14:textId="4A876D90">
            <w:pPr>
              <w:jc w:val="center"/>
            </w:pPr>
            <w:r>
              <w:t>25,000km</w:t>
            </w:r>
          </w:p>
        </w:tc>
        <w:tc>
          <w:tcPr>
            <w:tcW w:w="4658" w:type="dxa"/>
            <w:vAlign w:val="center"/>
          </w:tcPr>
          <w:p w:rsidR="000A121A" w:rsidP="00A83B21" w:rsidRDefault="000A121A" w14:paraId="0D37DD80" w14:textId="77777777">
            <w:r>
              <w:t>Sila</w:t>
            </w:r>
          </w:p>
        </w:tc>
      </w:tr>
      <w:tr w:rsidR="00A72672" w:rsidTr="0070098F" w14:paraId="50B6942C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36B921E2" w14:textId="77777777">
            <w:pPr>
              <w:rPr>
                <w:b/>
                <w:bCs/>
              </w:rPr>
            </w:pPr>
            <w:r w:rsidRPr="00740769">
              <w:rPr>
                <w:b/>
                <w:bCs/>
              </w:rPr>
              <w:t>Colombia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7755BED4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6E4BFABE" w14:textId="0B948F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 be Euro IV</w:t>
            </w: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2F86C227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50</w:t>
            </w:r>
          </w:p>
        </w:tc>
        <w:tc>
          <w:tcPr>
            <w:tcW w:w="1169" w:type="dxa"/>
            <w:vAlign w:val="center"/>
          </w:tcPr>
          <w:p w:rsidR="08675261" w:rsidP="08675261" w:rsidRDefault="00717A01" w14:paraId="1E12CD62" w14:textId="7ACEE757">
            <w:pPr>
              <w:jc w:val="center"/>
            </w:pPr>
            <w:r>
              <w:t>2</w:t>
            </w:r>
          </w:p>
        </w:tc>
        <w:tc>
          <w:tcPr>
            <w:tcW w:w="1323" w:type="dxa"/>
            <w:vAlign w:val="center"/>
          </w:tcPr>
          <w:p w:rsidR="08675261" w:rsidP="08675261" w:rsidRDefault="00717A01" w14:paraId="23666B54" w14:textId="6E8DE5AB">
            <w:pPr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470620B0" w14:paraId="423826D0" w14:textId="1327D09C">
            <w:pPr>
              <w:jc w:val="center"/>
            </w:pPr>
            <w:r>
              <w:t>28,000km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7F35DEF0" w14:textId="77777777">
            <w:r>
              <w:t>La Guajira</w:t>
            </w:r>
          </w:p>
        </w:tc>
      </w:tr>
      <w:tr w:rsidR="00A72672" w:rsidTr="0070098F" w14:paraId="7C412D44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075F46E9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Ethiopia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6D3013D6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6129F6" w:rsidRDefault="000A121A" w14:paraId="62CEB56D" w14:textId="31C83735">
            <w:pPr>
              <w:jc w:val="center"/>
              <w:rPr>
                <w:color w:val="000000" w:themeColor="text1"/>
              </w:rPr>
            </w:pPr>
            <w:r w:rsidRPr="59E56ABF">
              <w:rPr>
                <w:color w:val="000000" w:themeColor="text1"/>
              </w:rPr>
              <w:t>Hybrid/Electric Only</w:t>
            </w: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6875E59C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500</w:t>
            </w:r>
          </w:p>
        </w:tc>
        <w:tc>
          <w:tcPr>
            <w:tcW w:w="1169" w:type="dxa"/>
            <w:vAlign w:val="center"/>
          </w:tcPr>
          <w:p w:rsidR="08675261" w:rsidP="08675261" w:rsidRDefault="00013213" w14:paraId="666A11B3" w14:textId="4DB467DE">
            <w:pPr>
              <w:jc w:val="center"/>
            </w:pPr>
            <w:r>
              <w:t>34</w:t>
            </w:r>
          </w:p>
        </w:tc>
        <w:tc>
          <w:tcPr>
            <w:tcW w:w="1323" w:type="dxa"/>
            <w:vAlign w:val="center"/>
          </w:tcPr>
          <w:p w:rsidR="08675261" w:rsidP="08675261" w:rsidRDefault="00AC5395" w14:paraId="08BDDF73" w14:textId="347802F8">
            <w:pPr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3CD4F465" w14:paraId="46D9D4F6" w14:textId="03E60537">
            <w:pPr>
              <w:jc w:val="center"/>
            </w:pPr>
            <w:r>
              <w:t>24,000km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2DCBBDE8" w14:textId="77777777">
            <w:r>
              <w:t xml:space="preserve">Afar, </w:t>
            </w:r>
            <w:proofErr w:type="spellStart"/>
            <w:r>
              <w:t>Gambela</w:t>
            </w:r>
            <w:proofErr w:type="spellEnd"/>
            <w:r>
              <w:t xml:space="preserve">, </w:t>
            </w:r>
            <w:proofErr w:type="spellStart"/>
            <w:r>
              <w:t>Benshangul</w:t>
            </w:r>
            <w:proofErr w:type="spellEnd"/>
            <w:r>
              <w:t>, Amhara</w:t>
            </w:r>
          </w:p>
        </w:tc>
      </w:tr>
      <w:tr w:rsidR="00A72672" w:rsidTr="0070098F" w14:paraId="5DA4A3E7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6B728E8C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Haiti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24D39303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166B9662" w14:textId="76D03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Pr="000A4A8A" w:rsidR="000A121A" w:rsidP="00A83B21" w:rsidRDefault="00AF693F" w14:paraId="63BBA132" w14:textId="66689C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&gt;500</w:t>
            </w:r>
          </w:p>
        </w:tc>
        <w:tc>
          <w:tcPr>
            <w:tcW w:w="1169" w:type="dxa"/>
            <w:vAlign w:val="center"/>
          </w:tcPr>
          <w:p w:rsidR="08675261" w:rsidP="08675261" w:rsidRDefault="008947D2" w14:paraId="081560D6" w14:textId="31B2F769">
            <w:pPr>
              <w:jc w:val="center"/>
            </w:pPr>
            <w:r>
              <w:t>5</w:t>
            </w:r>
          </w:p>
        </w:tc>
        <w:tc>
          <w:tcPr>
            <w:tcW w:w="1323" w:type="dxa"/>
            <w:vAlign w:val="center"/>
          </w:tcPr>
          <w:p w:rsidR="08675261" w:rsidP="08675261" w:rsidRDefault="008947D2" w14:paraId="1B01EEF5" w14:textId="39CA3A95">
            <w:pPr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02E06803" w14:paraId="6BDA2013" w14:textId="0C67A059">
            <w:pPr>
              <w:jc w:val="center"/>
            </w:pPr>
            <w:r>
              <w:t>13,000km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2A0D5C8F" w14:textId="77777777">
            <w:r>
              <w:t>Port au Prince, Jeremie</w:t>
            </w:r>
          </w:p>
        </w:tc>
      </w:tr>
      <w:tr w:rsidR="00A72672" w:rsidTr="0070098F" w14:paraId="71F30F47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1030B97A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Honduras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384827A8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2E9C4924" w14:textId="0A220F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4326238F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500</w:t>
            </w:r>
          </w:p>
        </w:tc>
        <w:tc>
          <w:tcPr>
            <w:tcW w:w="1169" w:type="dxa"/>
            <w:vAlign w:val="center"/>
          </w:tcPr>
          <w:p w:rsidR="08675261" w:rsidP="08675261" w:rsidRDefault="003F0531" w14:paraId="23A4AC92" w14:textId="5C546B3B">
            <w:pPr>
              <w:jc w:val="center"/>
            </w:pPr>
            <w:r>
              <w:t>8</w:t>
            </w:r>
          </w:p>
        </w:tc>
        <w:tc>
          <w:tcPr>
            <w:tcW w:w="1323" w:type="dxa"/>
            <w:vAlign w:val="center"/>
          </w:tcPr>
          <w:p w:rsidR="08675261" w:rsidP="08675261" w:rsidRDefault="003F0531" w14:paraId="021A8966" w14:textId="2DA28D47">
            <w:pPr>
              <w:jc w:val="center"/>
            </w:pPr>
            <w:r>
              <w:t>5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2298AC55" w14:paraId="0B7B56DA" w14:textId="1D86369B">
            <w:pPr>
              <w:jc w:val="center"/>
            </w:pPr>
            <w:r>
              <w:t>16,000km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15BF963B" w14:textId="77777777">
            <w:r>
              <w:t>San Pedro Sula, Gracias a Dios</w:t>
            </w:r>
          </w:p>
        </w:tc>
      </w:tr>
      <w:tr w:rsidR="00A72672" w:rsidTr="0070098F" w14:paraId="2CBA7CE4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149DF954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Iraq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0B72B99A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3BAF42B1" w14:textId="1E551D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Pr="000A4A8A" w:rsidR="000A121A" w:rsidP="00A83B21" w:rsidRDefault="006D08A2" w14:paraId="4B46F142" w14:textId="500E5C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&gt;5000</w:t>
            </w:r>
          </w:p>
        </w:tc>
        <w:tc>
          <w:tcPr>
            <w:tcW w:w="1169" w:type="dxa"/>
            <w:vAlign w:val="center"/>
          </w:tcPr>
          <w:p w:rsidR="08675261" w:rsidP="08675261" w:rsidRDefault="00587035" w14:paraId="6B7AE642" w14:textId="245DF8CC">
            <w:pPr>
              <w:jc w:val="center"/>
            </w:pPr>
            <w:r>
              <w:t>0</w:t>
            </w:r>
          </w:p>
        </w:tc>
        <w:tc>
          <w:tcPr>
            <w:tcW w:w="1323" w:type="dxa"/>
            <w:vAlign w:val="center"/>
          </w:tcPr>
          <w:p w:rsidR="08675261" w:rsidP="08675261" w:rsidRDefault="00587035" w14:paraId="49106A4F" w14:textId="441E7C9B">
            <w:pPr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1DE7E242" w14:paraId="1A84D7F7" w14:textId="721D00C4">
            <w:pPr>
              <w:jc w:val="center"/>
            </w:pPr>
            <w:r>
              <w:t>25,000km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755DDB7F" w14:textId="77777777">
            <w:r>
              <w:t>Erbil, Basra, Duhok</w:t>
            </w:r>
          </w:p>
        </w:tc>
      </w:tr>
      <w:tr w:rsidR="00A72672" w:rsidTr="0070098F" w14:paraId="29FE7F26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09560415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Niger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43E75785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14362E87" w14:textId="7D96E8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1D156482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380</w:t>
            </w:r>
          </w:p>
        </w:tc>
        <w:tc>
          <w:tcPr>
            <w:tcW w:w="1169" w:type="dxa"/>
            <w:vAlign w:val="center"/>
          </w:tcPr>
          <w:p w:rsidR="08675261" w:rsidP="08675261" w:rsidRDefault="00A87D7A" w14:paraId="44FBED56" w14:textId="13A2FFE4">
            <w:pPr>
              <w:jc w:val="center"/>
            </w:pPr>
            <w:r>
              <w:t>6</w:t>
            </w:r>
          </w:p>
        </w:tc>
        <w:tc>
          <w:tcPr>
            <w:tcW w:w="1323" w:type="dxa"/>
            <w:vAlign w:val="center"/>
          </w:tcPr>
          <w:p w:rsidR="08675261" w:rsidP="08675261" w:rsidRDefault="00A87D7A" w14:paraId="75D26F8F" w14:textId="71D7A470">
            <w:pPr>
              <w:jc w:val="center"/>
            </w:pPr>
            <w:r>
              <w:t>34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0D49B359" w14:paraId="799F614F" w14:textId="4E71A50C">
            <w:pPr>
              <w:jc w:val="center"/>
            </w:pPr>
            <w:r>
              <w:t>13,000km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72650F07" w14:textId="77777777">
            <w:r>
              <w:t>Niamey, Zinder</w:t>
            </w:r>
          </w:p>
        </w:tc>
      </w:tr>
      <w:tr w:rsidR="00A72672" w:rsidTr="0070098F" w14:paraId="6E53F1D7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2360952C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Sierra Leone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4B476D95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60AA77F2" w14:textId="70EC8A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0E43DA9A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3000</w:t>
            </w:r>
          </w:p>
        </w:tc>
        <w:tc>
          <w:tcPr>
            <w:tcW w:w="1169" w:type="dxa"/>
            <w:vAlign w:val="center"/>
          </w:tcPr>
          <w:p w:rsidR="08675261" w:rsidP="08675261" w:rsidRDefault="00FB7D2B" w14:paraId="337908AB" w14:textId="0BE06A44">
            <w:pPr>
              <w:jc w:val="center"/>
            </w:pPr>
            <w:r>
              <w:t>22</w:t>
            </w:r>
          </w:p>
        </w:tc>
        <w:tc>
          <w:tcPr>
            <w:tcW w:w="1323" w:type="dxa"/>
            <w:vAlign w:val="center"/>
          </w:tcPr>
          <w:p w:rsidR="08675261" w:rsidP="08675261" w:rsidRDefault="00FB7D2B" w14:paraId="4B81FB4E" w14:textId="70A33984">
            <w:pPr>
              <w:jc w:val="center"/>
            </w:pPr>
            <w:r>
              <w:t>29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703DD994" w14:paraId="3A093CF2" w14:textId="19025B8F">
            <w:pPr>
              <w:jc w:val="center"/>
            </w:pPr>
            <w:r>
              <w:t>28,000km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0F73F392" w14:textId="77777777">
            <w:r>
              <w:t xml:space="preserve">Freetown, </w:t>
            </w:r>
            <w:proofErr w:type="spellStart"/>
            <w:r>
              <w:t>Kambia</w:t>
            </w:r>
            <w:proofErr w:type="spellEnd"/>
            <w:r>
              <w:t>, Kenema, Makeni</w:t>
            </w:r>
          </w:p>
        </w:tc>
      </w:tr>
      <w:tr w:rsidR="00A72672" w:rsidTr="0070098F" w14:paraId="7C14A035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2571C216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South Sudan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182F9EEF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2D7E35C0" w14:textId="767089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75F1019A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350</w:t>
            </w:r>
          </w:p>
        </w:tc>
        <w:tc>
          <w:tcPr>
            <w:tcW w:w="1169" w:type="dxa"/>
            <w:vAlign w:val="center"/>
          </w:tcPr>
          <w:p w:rsidR="08675261" w:rsidP="08675261" w:rsidRDefault="005A411D" w14:paraId="2633556B" w14:textId="2EB98FA9">
            <w:pPr>
              <w:jc w:val="center"/>
            </w:pPr>
            <w:r>
              <w:t>24</w:t>
            </w:r>
          </w:p>
        </w:tc>
        <w:tc>
          <w:tcPr>
            <w:tcW w:w="1323" w:type="dxa"/>
            <w:vAlign w:val="center"/>
          </w:tcPr>
          <w:p w:rsidR="08675261" w:rsidP="08675261" w:rsidRDefault="005A411D" w14:paraId="26E0C894" w14:textId="7EDB7283">
            <w:pPr>
              <w:jc w:val="center"/>
            </w:pPr>
            <w:r>
              <w:t>10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47A210F1" w14:paraId="14F50068" w14:textId="6A78926F">
            <w:pPr>
              <w:jc w:val="center"/>
            </w:pPr>
            <w:r>
              <w:t>21,000km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161D460A" w14:textId="77777777">
            <w:r>
              <w:t xml:space="preserve">Upper Nile, Warrap, Abyei, </w:t>
            </w:r>
            <w:hyperlink w:tooltip="Central Equatoria" w:history="1" r:id="rId8">
              <w:r w:rsidRPr="00FF63B9">
                <w:t>Equatoria</w:t>
              </w:r>
            </w:hyperlink>
            <w:r>
              <w:t>, Juba</w:t>
            </w:r>
          </w:p>
        </w:tc>
      </w:tr>
      <w:tr w:rsidR="00A72672" w:rsidTr="0070098F" w14:paraId="7B69736F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3E530265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Sudan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118FC153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6D58C57A" w14:textId="209398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52F83E74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350</w:t>
            </w:r>
          </w:p>
        </w:tc>
        <w:tc>
          <w:tcPr>
            <w:tcW w:w="1169" w:type="dxa"/>
            <w:vAlign w:val="center"/>
          </w:tcPr>
          <w:p w:rsidR="08675261" w:rsidP="08675261" w:rsidRDefault="00A317CB" w14:paraId="54B66931" w14:textId="57AE247F">
            <w:pPr>
              <w:jc w:val="center"/>
            </w:pPr>
            <w:r>
              <w:t>9</w:t>
            </w:r>
          </w:p>
        </w:tc>
        <w:tc>
          <w:tcPr>
            <w:tcW w:w="1323" w:type="dxa"/>
            <w:vAlign w:val="center"/>
          </w:tcPr>
          <w:p w:rsidR="08675261" w:rsidP="08675261" w:rsidRDefault="00A317CB" w14:paraId="2FAE6A0A" w14:textId="4EBAF321">
            <w:pPr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28FBDCF8" w14:paraId="219B2975" w14:textId="4CA1207B">
            <w:pPr>
              <w:jc w:val="center"/>
            </w:pPr>
            <w:r>
              <w:t>6,000km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589230DD" w14:textId="77777777">
            <w:r>
              <w:t>Port Sudan, Darfur, Kordofan</w:t>
            </w:r>
          </w:p>
        </w:tc>
      </w:tr>
      <w:tr w:rsidR="00A72672" w:rsidTr="0070098F" w14:paraId="3F5CDA54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177E71C5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Syria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68DF6390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66A630D4" w14:textId="7E0A02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Pr="000A4A8A" w:rsidR="000A121A" w:rsidP="00A83B21" w:rsidRDefault="006D08A2" w14:paraId="5CFB72B6" w14:textId="0B13F8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&gt;5000</w:t>
            </w:r>
          </w:p>
        </w:tc>
        <w:tc>
          <w:tcPr>
            <w:tcW w:w="1169" w:type="dxa"/>
            <w:vAlign w:val="center"/>
          </w:tcPr>
          <w:p w:rsidR="08675261" w:rsidP="08675261" w:rsidRDefault="007A25B0" w14:paraId="74F2D2F7" w14:textId="5A9794F9">
            <w:pPr>
              <w:jc w:val="center"/>
            </w:pPr>
            <w:r>
              <w:t>5</w:t>
            </w:r>
          </w:p>
        </w:tc>
        <w:tc>
          <w:tcPr>
            <w:tcW w:w="1323" w:type="dxa"/>
            <w:vAlign w:val="center"/>
          </w:tcPr>
          <w:p w:rsidR="08675261" w:rsidP="08675261" w:rsidRDefault="007A25B0" w14:paraId="0A251131" w14:textId="043AE8C1">
            <w:pPr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68F5F97F" w14:paraId="23C6A1B5" w14:textId="694EB09E">
            <w:pPr>
              <w:jc w:val="center"/>
            </w:pPr>
            <w:r>
              <w:t>26,000km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16366211" w14:textId="77777777">
            <w:r>
              <w:t>Aleppo, Idlib, Damascus</w:t>
            </w:r>
          </w:p>
        </w:tc>
      </w:tr>
      <w:tr w:rsidR="00A72672" w:rsidTr="0070098F" w14:paraId="69C5A569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68308C2C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Turkey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297E7503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LHD</w:t>
            </w:r>
          </w:p>
        </w:tc>
        <w:tc>
          <w:tcPr>
            <w:tcW w:w="2354" w:type="dxa"/>
            <w:vAlign w:val="center"/>
          </w:tcPr>
          <w:p w:rsidRPr="002F0D05" w:rsidR="000A121A" w:rsidP="002F0D05" w:rsidRDefault="000A121A" w14:paraId="34FDFE60" w14:textId="2E40A4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 be Euro 6</w:t>
            </w:r>
          </w:p>
        </w:tc>
        <w:tc>
          <w:tcPr>
            <w:tcW w:w="994" w:type="dxa"/>
            <w:vAlign w:val="center"/>
          </w:tcPr>
          <w:p w:rsidRPr="000A4A8A" w:rsidR="000A121A" w:rsidP="00A83B21" w:rsidRDefault="002107D1" w14:paraId="735BC5AF" w14:textId="27FFAC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69" w:type="dxa"/>
            <w:vAlign w:val="center"/>
          </w:tcPr>
          <w:p w:rsidR="08675261" w:rsidP="08675261" w:rsidRDefault="00C86A70" w14:paraId="70CC8A3F" w14:textId="0BD026F0">
            <w:pPr>
              <w:jc w:val="center"/>
            </w:pPr>
            <w:r>
              <w:t>0</w:t>
            </w:r>
          </w:p>
        </w:tc>
        <w:tc>
          <w:tcPr>
            <w:tcW w:w="1323" w:type="dxa"/>
            <w:vAlign w:val="center"/>
          </w:tcPr>
          <w:p w:rsidR="08675261" w:rsidP="08675261" w:rsidRDefault="00C86A70" w14:paraId="0C707A47" w14:textId="4B728553">
            <w:pPr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411BE2E7" w14:paraId="184272C5" w14:textId="68ED3740">
            <w:pPr>
              <w:jc w:val="center"/>
            </w:pPr>
            <w:r>
              <w:t>25,000km</w:t>
            </w:r>
          </w:p>
        </w:tc>
        <w:tc>
          <w:tcPr>
            <w:tcW w:w="4658" w:type="dxa"/>
            <w:vAlign w:val="center"/>
          </w:tcPr>
          <w:p w:rsidR="000A121A" w:rsidP="00A83B21" w:rsidRDefault="000A121A" w14:paraId="4839BAF2" w14:textId="77777777">
            <w:r>
              <w:t>Gaziantep</w:t>
            </w:r>
          </w:p>
        </w:tc>
      </w:tr>
      <w:tr w:rsidR="00A72672" w:rsidTr="0070098F" w14:paraId="49B759BD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5E67A2A1" w14:textId="77777777">
            <w:pPr>
              <w:rPr>
                <w:b/>
                <w:bCs/>
                <w:color w:val="000000"/>
              </w:rPr>
            </w:pPr>
            <w:r w:rsidRPr="00740769">
              <w:rPr>
                <w:b/>
                <w:bCs/>
                <w:color w:val="000000"/>
              </w:rPr>
              <w:t>Uganda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48D6F37F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RHD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387224D8" w14:textId="7310C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 be Euro IV</w:t>
            </w: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79483662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50</w:t>
            </w:r>
          </w:p>
        </w:tc>
        <w:tc>
          <w:tcPr>
            <w:tcW w:w="1169" w:type="dxa"/>
            <w:vAlign w:val="center"/>
          </w:tcPr>
          <w:p w:rsidR="08675261" w:rsidP="08675261" w:rsidRDefault="00E818B8" w14:paraId="44771D1D" w14:textId="777CF6B8">
            <w:pPr>
              <w:jc w:val="center"/>
            </w:pPr>
            <w:r>
              <w:t>18</w:t>
            </w:r>
          </w:p>
        </w:tc>
        <w:tc>
          <w:tcPr>
            <w:tcW w:w="1323" w:type="dxa"/>
            <w:vAlign w:val="center"/>
          </w:tcPr>
          <w:p w:rsidR="08675261" w:rsidP="08675261" w:rsidRDefault="00E818B8" w14:paraId="01FC948B" w14:textId="18EC470B">
            <w:pPr>
              <w:jc w:val="center"/>
            </w:pPr>
            <w:r>
              <w:t>52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24ADD468" w14:paraId="657F55AA" w14:textId="14A6BD74">
            <w:pPr>
              <w:jc w:val="center"/>
            </w:pPr>
            <w:r>
              <w:t>32,000km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61064CA6" w14:textId="77777777">
            <w:r>
              <w:t>Kampala, Western, Eastern, Northern</w:t>
            </w:r>
          </w:p>
        </w:tc>
      </w:tr>
      <w:tr w:rsidR="00A72672" w:rsidTr="0070098F" w14:paraId="0C0015C1" w14:textId="77777777">
        <w:trPr>
          <w:trHeight w:val="300"/>
        </w:trPr>
        <w:tc>
          <w:tcPr>
            <w:tcW w:w="1647" w:type="dxa"/>
            <w:vAlign w:val="center"/>
          </w:tcPr>
          <w:p w:rsidRPr="00740769" w:rsidR="000A121A" w:rsidP="00A83B21" w:rsidRDefault="000A121A" w14:paraId="19FA94E9" w14:textId="77777777">
            <w:pPr>
              <w:rPr>
                <w:b/>
                <w:bCs/>
              </w:rPr>
            </w:pPr>
            <w:r w:rsidRPr="00740769">
              <w:rPr>
                <w:b/>
                <w:bCs/>
                <w:color w:val="000000"/>
              </w:rPr>
              <w:t>Zimbabwe</w:t>
            </w:r>
          </w:p>
        </w:tc>
        <w:tc>
          <w:tcPr>
            <w:tcW w:w="914" w:type="dxa"/>
            <w:vAlign w:val="center"/>
          </w:tcPr>
          <w:p w:rsidRPr="000A4A8A" w:rsidR="000A121A" w:rsidP="00A83B21" w:rsidRDefault="000A121A" w14:paraId="3D2F5BAD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RHD</w:t>
            </w:r>
          </w:p>
        </w:tc>
        <w:tc>
          <w:tcPr>
            <w:tcW w:w="2354" w:type="dxa"/>
            <w:vAlign w:val="center"/>
          </w:tcPr>
          <w:p w:rsidRPr="002F0D05" w:rsidR="000A121A" w:rsidP="00803248" w:rsidRDefault="000A121A" w14:paraId="0665E4F6" w14:textId="5B748B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Pr="000A4A8A" w:rsidR="000A121A" w:rsidP="00A83B21" w:rsidRDefault="000A121A" w14:paraId="5CDCDC0E" w14:textId="77777777">
            <w:pPr>
              <w:jc w:val="center"/>
              <w:rPr>
                <w:color w:val="000000" w:themeColor="text1"/>
              </w:rPr>
            </w:pPr>
            <w:r w:rsidRPr="000A4A8A">
              <w:rPr>
                <w:color w:val="000000" w:themeColor="text1"/>
              </w:rPr>
              <w:t>50</w:t>
            </w:r>
          </w:p>
        </w:tc>
        <w:tc>
          <w:tcPr>
            <w:tcW w:w="1169" w:type="dxa"/>
            <w:vAlign w:val="center"/>
          </w:tcPr>
          <w:p w:rsidR="08675261" w:rsidP="08675261" w:rsidRDefault="008E556B" w14:paraId="344B1645" w14:textId="3BA272C1">
            <w:pPr>
              <w:jc w:val="center"/>
            </w:pPr>
            <w:r>
              <w:t>5</w:t>
            </w:r>
          </w:p>
        </w:tc>
        <w:tc>
          <w:tcPr>
            <w:tcW w:w="1323" w:type="dxa"/>
            <w:vAlign w:val="center"/>
          </w:tcPr>
          <w:p w:rsidR="08675261" w:rsidP="08675261" w:rsidRDefault="008E556B" w14:paraId="7C3873A4" w14:textId="62193280">
            <w:pPr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Pr="004622D0" w:rsidR="000A121A" w:rsidP="4454E4C8" w:rsidRDefault="398CC2B2" w14:paraId="44AC6CC5" w14:textId="2BB05097">
            <w:pPr>
              <w:jc w:val="center"/>
            </w:pPr>
            <w:r>
              <w:t>30,000km</w:t>
            </w:r>
          </w:p>
        </w:tc>
        <w:tc>
          <w:tcPr>
            <w:tcW w:w="4658" w:type="dxa"/>
            <w:vAlign w:val="center"/>
          </w:tcPr>
          <w:p w:rsidRPr="004622D0" w:rsidR="000A121A" w:rsidP="00A83B21" w:rsidRDefault="000A121A" w14:paraId="25D58946" w14:textId="77777777">
            <w:r>
              <w:t>Harare, Plumtree</w:t>
            </w:r>
          </w:p>
        </w:tc>
      </w:tr>
      <w:tr w:rsidR="008E556B" w:rsidTr="0070098F" w14:paraId="4308BE99" w14:textId="77777777">
        <w:trPr>
          <w:trHeight w:val="300"/>
        </w:trPr>
        <w:tc>
          <w:tcPr>
            <w:tcW w:w="5909" w:type="dxa"/>
            <w:gridSpan w:val="4"/>
            <w:shd w:val="clear" w:color="auto" w:fill="BFBFBF" w:themeFill="background1" w:themeFillShade="BF"/>
            <w:vAlign w:val="center"/>
          </w:tcPr>
          <w:p w:rsidRPr="008E556B" w:rsidR="008E556B" w:rsidP="00A83B21" w:rsidRDefault="008E556B" w14:paraId="6A463F32" w14:textId="7C071AAA">
            <w:pPr>
              <w:jc w:val="center"/>
              <w:rPr>
                <w:b/>
                <w:bCs/>
                <w:color w:val="000000" w:themeColor="text1"/>
              </w:rPr>
            </w:pPr>
            <w:r w:rsidRPr="008E556B">
              <w:rPr>
                <w:b/>
                <w:bCs/>
                <w:color w:val="000000" w:themeColor="text1"/>
              </w:rPr>
              <w:t>TOTALS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:rsidRPr="008E556B" w:rsidR="008E556B" w:rsidP="08675261" w:rsidRDefault="008E556B" w14:paraId="23F35AB3" w14:textId="2B6D6115">
            <w:pPr>
              <w:jc w:val="center"/>
              <w:rPr>
                <w:b/>
                <w:bCs/>
              </w:rPr>
            </w:pPr>
            <w:r w:rsidRPr="008E556B">
              <w:rPr>
                <w:b/>
                <w:bCs/>
              </w:rPr>
              <w:t>143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Pr="008E556B" w:rsidR="008E556B" w:rsidP="08675261" w:rsidRDefault="008E556B" w14:paraId="49EB5054" w14:textId="45804598">
            <w:pPr>
              <w:jc w:val="center"/>
              <w:rPr>
                <w:b/>
                <w:bCs/>
              </w:rPr>
            </w:pPr>
            <w:r w:rsidRPr="008E556B">
              <w:rPr>
                <w:b/>
                <w:bCs/>
              </w:rPr>
              <w:t>130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:rsidRPr="008E556B" w:rsidR="008E556B" w:rsidP="4454E4C8" w:rsidRDefault="008E556B" w14:paraId="63759568" w14:textId="5E950DD1">
            <w:pPr>
              <w:jc w:val="center"/>
              <w:rPr>
                <w:b/>
                <w:bCs/>
              </w:rPr>
            </w:pPr>
            <w:r w:rsidRPr="008E556B">
              <w:rPr>
                <w:b/>
                <w:bCs/>
              </w:rPr>
              <w:t>25,000km</w:t>
            </w:r>
          </w:p>
        </w:tc>
        <w:tc>
          <w:tcPr>
            <w:tcW w:w="4658" w:type="dxa"/>
            <w:shd w:val="clear" w:color="auto" w:fill="BFBFBF" w:themeFill="background1" w:themeFillShade="BF"/>
            <w:vAlign w:val="center"/>
          </w:tcPr>
          <w:p w:rsidRPr="008E556B" w:rsidR="008E556B" w:rsidP="00A83B21" w:rsidRDefault="008E556B" w14:paraId="30F1B064" w14:textId="77777777">
            <w:pPr>
              <w:rPr>
                <w:b/>
                <w:bCs/>
              </w:rPr>
            </w:pPr>
          </w:p>
        </w:tc>
      </w:tr>
    </w:tbl>
    <w:p w:rsidR="6EA76C00" w:rsidP="0070098F" w:rsidRDefault="2136355B" w14:paraId="01F8D13E" w14:textId="08BF1180">
      <w:pPr>
        <w:ind w:left="-284" w:right="-217"/>
        <w:jc w:val="both"/>
        <w:rPr>
          <w:b/>
          <w:bCs/>
          <w:color w:val="FF0000"/>
        </w:rPr>
      </w:pPr>
      <w:r w:rsidRPr="17A467D3" w:rsidR="7A78DD6C">
        <w:rPr>
          <w:b w:val="1"/>
          <w:bCs w:val="1"/>
          <w:color w:val="FF0000"/>
        </w:rPr>
        <w:t xml:space="preserve">NOTE: </w:t>
      </w:r>
      <w:r w:rsidRPr="17A467D3" w:rsidR="32E76416">
        <w:rPr>
          <w:b w:val="1"/>
          <w:bCs w:val="1"/>
          <w:color w:val="FF0000"/>
        </w:rPr>
        <w:t>*Information is provided as a guide,</w:t>
      </w:r>
      <w:r w:rsidRPr="17A467D3" w:rsidR="41868C4A">
        <w:rPr>
          <w:b w:val="1"/>
          <w:bCs w:val="1"/>
          <w:color w:val="FF0000"/>
        </w:rPr>
        <w:t xml:space="preserve"> </w:t>
      </w:r>
      <w:proofErr w:type="spellStart"/>
      <w:r w:rsidRPr="17A467D3" w:rsidR="41868C4A">
        <w:rPr>
          <w:b w:val="1"/>
          <w:bCs w:val="1"/>
          <w:color w:val="FF0000"/>
        </w:rPr>
        <w:t>Sulfur</w:t>
      </w:r>
      <w:proofErr w:type="spellEnd"/>
      <w:r w:rsidRPr="17A467D3" w:rsidR="41868C4A">
        <w:rPr>
          <w:b w:val="1"/>
          <w:bCs w:val="1"/>
          <w:color w:val="FF0000"/>
        </w:rPr>
        <w:t xml:space="preserve"> levels taken from UNEP, all</w:t>
      </w:r>
      <w:r w:rsidRPr="17A467D3" w:rsidR="32E76416">
        <w:rPr>
          <w:b w:val="1"/>
          <w:bCs w:val="1"/>
          <w:color w:val="FF0000"/>
        </w:rPr>
        <w:t xml:space="preserve"> bidders should conduct their own due diligence and offer the lowest whole life cost, lowest emission vehicle which is appropriate for use in each country</w:t>
      </w:r>
      <w:r w:rsidRPr="17A467D3" w:rsidR="07595E85">
        <w:rPr>
          <w:b w:val="1"/>
          <w:bCs w:val="1"/>
          <w:color w:val="FF0000"/>
        </w:rPr>
        <w:t>. Y</w:t>
      </w:r>
      <w:r w:rsidRPr="17A467D3" w:rsidR="0EF6B1A8">
        <w:rPr>
          <w:b w:val="1"/>
          <w:bCs w:val="1"/>
          <w:color w:val="FF0000"/>
        </w:rPr>
        <w:t>our assessment of suitability should be</w:t>
      </w:r>
      <w:r w:rsidRPr="17A467D3" w:rsidR="32E76416">
        <w:rPr>
          <w:b w:val="1"/>
          <w:bCs w:val="1"/>
          <w:color w:val="FF0000"/>
        </w:rPr>
        <w:t xml:space="preserve"> based on all variables including but not limited to off-road conditions, fuel availability, fuel quality and any import restrictions.</w:t>
      </w:r>
      <w:r w:rsidRPr="17A467D3" w:rsidR="72FEC8F2">
        <w:rPr>
          <w:b w:val="1"/>
          <w:bCs w:val="1"/>
          <w:color w:val="FF0000"/>
        </w:rPr>
        <w:t xml:space="preserve"> </w:t>
      </w:r>
      <w:r w:rsidRPr="17A467D3" w:rsidR="32E76416">
        <w:rPr>
          <w:b w:val="1"/>
          <w:bCs w:val="1"/>
          <w:color w:val="FF0000"/>
        </w:rPr>
        <w:t xml:space="preserve"> </w:t>
      </w:r>
    </w:p>
    <w:p w:rsidR="004E07F8" w:rsidP="00A72672" w:rsidRDefault="004E07F8" w14:paraId="4480E049" w14:textId="77777777">
      <w:pPr>
        <w:ind w:left="-284"/>
        <w:jc w:val="both"/>
        <w:rPr>
          <w:b/>
          <w:bCs/>
          <w:color w:val="196B24" w:themeColor="accent3"/>
          <w:sz w:val="40"/>
          <w:szCs w:val="40"/>
        </w:rPr>
        <w:sectPr w:rsidR="004E07F8" w:rsidSect="00894E3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Pr="002C46B6" w:rsidR="004E7ABA" w:rsidP="004E7ABA" w:rsidRDefault="004E7ABA" w14:paraId="0D29CB17" w14:textId="77777777">
      <w:pPr>
        <w:jc w:val="both"/>
        <w:rPr>
          <w:b/>
          <w:bCs/>
        </w:rPr>
      </w:pPr>
      <w:r w:rsidRPr="002C46B6">
        <w:rPr>
          <w:b/>
          <w:bCs/>
        </w:rPr>
        <w:lastRenderedPageBreak/>
        <w:t>GOAL Demand Forecast</w:t>
      </w:r>
    </w:p>
    <w:p w:rsidR="000E70A4" w:rsidP="00C0578A" w:rsidRDefault="004E7ABA" w14:paraId="169FE454" w14:textId="77777777">
      <w:pPr>
        <w:jc w:val="both"/>
      </w:pPr>
      <w:r>
        <w:t>This forecast is indicative based on</w:t>
      </w:r>
      <w:r w:rsidR="00B33D18">
        <w:t xml:space="preserve"> the total fleet size in each country and</w:t>
      </w:r>
      <w:r>
        <w:t xml:space="preserve"> a planned 5 Year replacement cycle for all vehicles</w:t>
      </w:r>
      <w:r w:rsidR="002164B7">
        <w:t>/motorcycles</w:t>
      </w:r>
      <w:r w:rsidR="00B33D18">
        <w:t xml:space="preserve">. The </w:t>
      </w:r>
      <w:r w:rsidR="00DF52E9">
        <w:t>5-year</w:t>
      </w:r>
      <w:r w:rsidR="00B33D18">
        <w:t xml:space="preserve"> replacement cycle is a target</w:t>
      </w:r>
      <w:r w:rsidR="00DF52E9">
        <w:t xml:space="preserve"> which cannot always be met</w:t>
      </w:r>
      <w:r w:rsidR="00B33D18">
        <w:t xml:space="preserve">, </w:t>
      </w:r>
      <w:r w:rsidR="000E70A4">
        <w:t>so</w:t>
      </w:r>
      <w:r w:rsidR="00B33D18">
        <w:t xml:space="preserve"> this forecast</w:t>
      </w:r>
      <w:r>
        <w:t xml:space="preserve"> does not demonstrate a contractual commitment to purchase this volume of vehicles</w:t>
      </w:r>
      <w:r w:rsidR="00C0578A">
        <w:t xml:space="preserve">. </w:t>
      </w:r>
    </w:p>
    <w:p w:rsidR="000E70A4" w:rsidP="00C0578A" w:rsidRDefault="004E7ABA" w14:paraId="2107B493" w14:textId="4BA687E7">
      <w:pPr>
        <w:jc w:val="both"/>
      </w:pPr>
      <w:r>
        <w:t xml:space="preserve">The actual commitment </w:t>
      </w:r>
      <w:r w:rsidR="00C0578A">
        <w:t xml:space="preserve">to purchase will be </w:t>
      </w:r>
      <w:r>
        <w:t xml:space="preserve">via call-off contract </w:t>
      </w:r>
      <w:r w:rsidR="00C0578A">
        <w:t xml:space="preserve">and </w:t>
      </w:r>
      <w:r>
        <w:t>will be based on requirements and the availability of funding.</w:t>
      </w:r>
    </w:p>
    <w:tbl>
      <w:tblPr>
        <w:tblpPr w:leftFromText="180" w:rightFromText="180" w:vertAnchor="page" w:horzAnchor="margin" w:tblpXSpec="center" w:tblpY="4531"/>
        <w:tblW w:w="6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409"/>
      </w:tblGrid>
      <w:tr w:rsidRPr="005607E4" w:rsidR="000E70A4" w:rsidTr="000E70A4" w14:paraId="07464D94" w14:textId="77777777">
        <w:trPr>
          <w:trHeight w:val="315"/>
        </w:trPr>
        <w:tc>
          <w:tcPr>
            <w:tcW w:w="2122" w:type="dxa"/>
            <w:shd w:val="clear" w:color="000000" w:fill="186C24"/>
            <w:vAlign w:val="center"/>
            <w:hideMark/>
          </w:tcPr>
          <w:p w:rsidRPr="005607E4" w:rsidR="000E70A4" w:rsidP="000E70A4" w:rsidRDefault="000E70A4" w14:paraId="650187BE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811392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Country</w:t>
            </w:r>
          </w:p>
        </w:tc>
        <w:tc>
          <w:tcPr>
            <w:tcW w:w="2409" w:type="dxa"/>
            <w:shd w:val="clear" w:color="000000" w:fill="186C24"/>
            <w:noWrap/>
            <w:vAlign w:val="bottom"/>
            <w:hideMark/>
          </w:tcPr>
          <w:p w:rsidRPr="005607E4" w:rsidR="000E70A4" w:rsidP="000E70A4" w:rsidRDefault="000E70A4" w14:paraId="06C16EE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Forecast Annual Demand (Vehicles)</w:t>
            </w:r>
          </w:p>
        </w:tc>
        <w:tc>
          <w:tcPr>
            <w:tcW w:w="2409" w:type="dxa"/>
            <w:shd w:val="clear" w:color="000000" w:fill="186C24"/>
          </w:tcPr>
          <w:p w:rsidR="000E70A4" w:rsidP="000E70A4" w:rsidRDefault="000E70A4" w14:paraId="45C73B9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Forecasted Annual Demand (Motorcycles)</w:t>
            </w:r>
          </w:p>
        </w:tc>
      </w:tr>
      <w:tr w:rsidRPr="005607E4" w:rsidR="000E70A4" w:rsidTr="000E70A4" w14:paraId="743025E3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2F1AD6F2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33B4D3E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E70A4" w:rsidP="000E70A4" w:rsidRDefault="000E70A4" w14:paraId="3B317A5D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Pr="005607E4" w:rsidR="000E70A4" w:rsidTr="000E70A4" w14:paraId="1514C7A4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762A6914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Ethiopia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540E089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0E70A4" w:rsidP="000E70A4" w:rsidRDefault="000E70A4" w14:paraId="396C9173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Pr="005607E4" w:rsidR="000E70A4" w:rsidTr="000E70A4" w14:paraId="5F6D2169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593B9067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Haiti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5D1FB79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E70A4" w:rsidP="000E70A4" w:rsidRDefault="000E70A4" w14:paraId="24D37646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Pr="005607E4" w:rsidR="000E70A4" w:rsidTr="000E70A4" w14:paraId="5F8C9E3F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78A7AC02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Honduras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537EB40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0E70A4" w:rsidP="000E70A4" w:rsidRDefault="000E70A4" w14:paraId="3ECD2837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</w:tr>
      <w:tr w:rsidRPr="005607E4" w:rsidR="000E70A4" w:rsidTr="000E70A4" w14:paraId="3E7E9C78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309FAFAE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7923630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E70A4" w:rsidP="000E70A4" w:rsidRDefault="000E70A4" w14:paraId="5D9BD671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Pr="005607E4" w:rsidR="000E70A4" w:rsidTr="000E70A4" w14:paraId="3158751C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1A458542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7815EA6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0E70A4" w:rsidP="000E70A4" w:rsidRDefault="000E70A4" w14:paraId="7BCE3872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</w:tr>
      <w:tr w:rsidRPr="005607E4" w:rsidR="000E70A4" w:rsidTr="000E70A4" w14:paraId="6A80CFCA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29918B37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Sierra Leone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4F9680D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0E70A4" w:rsidP="000E70A4" w:rsidRDefault="000E70A4" w14:paraId="5BDA8DDA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</w:tr>
      <w:tr w:rsidRPr="005607E4" w:rsidR="000E70A4" w:rsidTr="000E70A4" w14:paraId="206C7580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6AB0724A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South Sudan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0E1D6F0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0E70A4" w:rsidP="000E70A4" w:rsidRDefault="000E70A4" w14:paraId="1A3939D6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</w:tr>
      <w:tr w:rsidRPr="005607E4" w:rsidR="000E70A4" w:rsidTr="000E70A4" w14:paraId="3F815DE9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7BE47029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05AFCBB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0E70A4" w:rsidP="000E70A4" w:rsidRDefault="000E70A4" w14:paraId="4427A212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Pr="005607E4" w:rsidR="000E70A4" w:rsidTr="000E70A4" w14:paraId="30CADA32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60FC9786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Syria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554DCE6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E70A4" w:rsidP="000E70A4" w:rsidRDefault="000E70A4" w14:paraId="24F39C96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Pr="005607E4" w:rsidR="000E70A4" w:rsidTr="000E70A4" w14:paraId="22859047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71217060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2AE1064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0E70A4" w:rsidP="000E70A4" w:rsidRDefault="000E70A4" w14:paraId="15BA2E0E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</w:tr>
      <w:tr w:rsidRPr="005607E4" w:rsidR="000E70A4" w:rsidTr="000E70A4" w14:paraId="5DD5CAC9" w14:textId="77777777">
        <w:trPr>
          <w:trHeight w:val="315"/>
        </w:trPr>
        <w:tc>
          <w:tcPr>
            <w:tcW w:w="2122" w:type="dxa"/>
            <w:shd w:val="clear" w:color="000000" w:fill="D9D9D9"/>
            <w:vAlign w:val="bottom"/>
            <w:hideMark/>
          </w:tcPr>
          <w:p w:rsidRPr="002C68A7" w:rsidR="000E70A4" w:rsidP="000E70A4" w:rsidRDefault="000E70A4" w14:paraId="78FCA851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2C68A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Zimbabwe</w:t>
            </w:r>
          </w:p>
        </w:tc>
        <w:tc>
          <w:tcPr>
            <w:tcW w:w="2409" w:type="dxa"/>
            <w:noWrap/>
            <w:vAlign w:val="bottom"/>
            <w:hideMark/>
          </w:tcPr>
          <w:p w:rsidRPr="005607E4" w:rsidR="000E70A4" w:rsidP="000E70A4" w:rsidRDefault="000E70A4" w14:paraId="0FD211E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E70A4" w:rsidP="000E70A4" w:rsidRDefault="000E70A4" w14:paraId="09069D86" w14:textId="7777777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Pr="005607E4" w:rsidR="000E70A4" w:rsidTr="000E70A4" w14:paraId="08A3A5FE" w14:textId="77777777">
        <w:trPr>
          <w:trHeight w:val="315"/>
        </w:trPr>
        <w:tc>
          <w:tcPr>
            <w:tcW w:w="2122" w:type="dxa"/>
            <w:shd w:val="clear" w:color="auto" w:fill="BFBFBF" w:themeFill="background1" w:themeFillShade="BF"/>
            <w:vAlign w:val="center"/>
            <w:hideMark/>
          </w:tcPr>
          <w:p w:rsidRPr="00811392" w:rsidR="000E70A4" w:rsidP="000E70A4" w:rsidRDefault="000E70A4" w14:paraId="6DD16831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81139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center"/>
            <w:hideMark/>
          </w:tcPr>
          <w:p w:rsidRPr="00811392" w:rsidR="000E70A4" w:rsidP="000E70A4" w:rsidRDefault="000E70A4" w14:paraId="1597249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1139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Pr="00811392" w:rsidR="000E70A4" w:rsidP="000E70A4" w:rsidRDefault="000E70A4" w14:paraId="6262F025" w14:textId="7777777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</w:tbl>
    <w:p w:rsidR="00C0578A" w:rsidP="00C0578A" w:rsidRDefault="00C0578A" w14:paraId="53890391" w14:textId="77777777">
      <w:pPr>
        <w:jc w:val="both"/>
      </w:pPr>
    </w:p>
    <w:p w:rsidR="00B71F28" w:rsidP="17A467D3" w:rsidRDefault="00B71F28" w14:paraId="277C581A" w14:textId="6D1BA47C">
      <w:pPr>
        <w:ind/>
        <w:jc w:val="both"/>
      </w:pPr>
      <w:r w:rsidR="7BD0CC67">
        <w:rPr/>
        <w:t xml:space="preserve">The current vehicle fleet is currently predominantly made up of Heavy Duty 4x4 Vehicles (Lots, 1, 2, 3) but vehicle requirements will be </w:t>
      </w:r>
      <w:r w:rsidR="7BD0CC67">
        <w:rPr/>
        <w:t>determined</w:t>
      </w:r>
      <w:r w:rsidR="7BD0CC67">
        <w:rPr/>
        <w:t xml:space="preserve"> at the time of demand, and wherever possible smaller vehicles will be </w:t>
      </w:r>
      <w:r w:rsidR="7BD0CC67">
        <w:rPr/>
        <w:t>purchased</w:t>
      </w:r>
      <w:r w:rsidR="7BD0CC67">
        <w:rPr/>
        <w:t xml:space="preserve"> to achieve fleet ‘right-sizing’ and environmental efficiencies</w:t>
      </w:r>
      <w:r w:rsidR="3CA86063">
        <w:rPr/>
        <w:t>.</w:t>
      </w:r>
    </w:p>
    <w:sectPr w:rsidR="00B71F28" w:rsidSect="004E07F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59"/>
    <w:rsid w:val="00000C7E"/>
    <w:rsid w:val="000011DD"/>
    <w:rsid w:val="00013213"/>
    <w:rsid w:val="0001426B"/>
    <w:rsid w:val="00017C1F"/>
    <w:rsid w:val="000201A5"/>
    <w:rsid w:val="0002122A"/>
    <w:rsid w:val="000239B6"/>
    <w:rsid w:val="00024154"/>
    <w:rsid w:val="00026F20"/>
    <w:rsid w:val="0003337E"/>
    <w:rsid w:val="0003494D"/>
    <w:rsid w:val="000403DA"/>
    <w:rsid w:val="00040B88"/>
    <w:rsid w:val="00042878"/>
    <w:rsid w:val="00053EE6"/>
    <w:rsid w:val="00053FB9"/>
    <w:rsid w:val="0006296C"/>
    <w:rsid w:val="000632EE"/>
    <w:rsid w:val="00065CAE"/>
    <w:rsid w:val="00066042"/>
    <w:rsid w:val="00070845"/>
    <w:rsid w:val="00073DFF"/>
    <w:rsid w:val="00077796"/>
    <w:rsid w:val="00084C61"/>
    <w:rsid w:val="00086B35"/>
    <w:rsid w:val="000966F1"/>
    <w:rsid w:val="000A07A9"/>
    <w:rsid w:val="000A121A"/>
    <w:rsid w:val="000A4306"/>
    <w:rsid w:val="000A4A8A"/>
    <w:rsid w:val="000A7636"/>
    <w:rsid w:val="000B403F"/>
    <w:rsid w:val="000B502E"/>
    <w:rsid w:val="000B5576"/>
    <w:rsid w:val="000B5CE4"/>
    <w:rsid w:val="000B7393"/>
    <w:rsid w:val="000C045D"/>
    <w:rsid w:val="000C0F8A"/>
    <w:rsid w:val="000C2172"/>
    <w:rsid w:val="000C30E7"/>
    <w:rsid w:val="000C3E17"/>
    <w:rsid w:val="000C4D00"/>
    <w:rsid w:val="000C51BA"/>
    <w:rsid w:val="000C5B99"/>
    <w:rsid w:val="000D0EE7"/>
    <w:rsid w:val="000D1105"/>
    <w:rsid w:val="000D59FA"/>
    <w:rsid w:val="000D7C0A"/>
    <w:rsid w:val="000E3096"/>
    <w:rsid w:val="000E35B3"/>
    <w:rsid w:val="000E60D1"/>
    <w:rsid w:val="000E70A4"/>
    <w:rsid w:val="000F2882"/>
    <w:rsid w:val="000F2CCB"/>
    <w:rsid w:val="000F434E"/>
    <w:rsid w:val="000F62EB"/>
    <w:rsid w:val="00105C0C"/>
    <w:rsid w:val="00114683"/>
    <w:rsid w:val="001155B1"/>
    <w:rsid w:val="00115B00"/>
    <w:rsid w:val="00117C3A"/>
    <w:rsid w:val="00121F8D"/>
    <w:rsid w:val="00125433"/>
    <w:rsid w:val="00130B74"/>
    <w:rsid w:val="00133835"/>
    <w:rsid w:val="00134526"/>
    <w:rsid w:val="00135D43"/>
    <w:rsid w:val="00135E1E"/>
    <w:rsid w:val="00136128"/>
    <w:rsid w:val="00136971"/>
    <w:rsid w:val="00137538"/>
    <w:rsid w:val="00140076"/>
    <w:rsid w:val="00141512"/>
    <w:rsid w:val="001415D2"/>
    <w:rsid w:val="00141969"/>
    <w:rsid w:val="001475D3"/>
    <w:rsid w:val="00153205"/>
    <w:rsid w:val="00153C12"/>
    <w:rsid w:val="00155984"/>
    <w:rsid w:val="00161222"/>
    <w:rsid w:val="001616CD"/>
    <w:rsid w:val="00162FE8"/>
    <w:rsid w:val="00170491"/>
    <w:rsid w:val="00172411"/>
    <w:rsid w:val="0017627C"/>
    <w:rsid w:val="00176CF9"/>
    <w:rsid w:val="00177F60"/>
    <w:rsid w:val="001809C0"/>
    <w:rsid w:val="0019245C"/>
    <w:rsid w:val="00195D8E"/>
    <w:rsid w:val="001964AA"/>
    <w:rsid w:val="00197FDB"/>
    <w:rsid w:val="001A08AD"/>
    <w:rsid w:val="001A2462"/>
    <w:rsid w:val="001B0429"/>
    <w:rsid w:val="001D32CA"/>
    <w:rsid w:val="001D6778"/>
    <w:rsid w:val="001E3979"/>
    <w:rsid w:val="001E3F1D"/>
    <w:rsid w:val="001E681C"/>
    <w:rsid w:val="001F13DA"/>
    <w:rsid w:val="001F2293"/>
    <w:rsid w:val="00202143"/>
    <w:rsid w:val="00202D09"/>
    <w:rsid w:val="002045AE"/>
    <w:rsid w:val="002063C2"/>
    <w:rsid w:val="00207484"/>
    <w:rsid w:val="002107D1"/>
    <w:rsid w:val="00212A47"/>
    <w:rsid w:val="002164B7"/>
    <w:rsid w:val="00225ECA"/>
    <w:rsid w:val="002313DE"/>
    <w:rsid w:val="00233616"/>
    <w:rsid w:val="00234A86"/>
    <w:rsid w:val="002412EB"/>
    <w:rsid w:val="00251A28"/>
    <w:rsid w:val="0025344D"/>
    <w:rsid w:val="00260210"/>
    <w:rsid w:val="00262FD8"/>
    <w:rsid w:val="0027047A"/>
    <w:rsid w:val="00276907"/>
    <w:rsid w:val="00276B5A"/>
    <w:rsid w:val="00277285"/>
    <w:rsid w:val="0028064A"/>
    <w:rsid w:val="002807FE"/>
    <w:rsid w:val="00280D25"/>
    <w:rsid w:val="00291489"/>
    <w:rsid w:val="00294EE6"/>
    <w:rsid w:val="002A3194"/>
    <w:rsid w:val="002A6340"/>
    <w:rsid w:val="002B1E10"/>
    <w:rsid w:val="002B3006"/>
    <w:rsid w:val="002B4E77"/>
    <w:rsid w:val="002B6B33"/>
    <w:rsid w:val="002B6D32"/>
    <w:rsid w:val="002B715C"/>
    <w:rsid w:val="002B748C"/>
    <w:rsid w:val="002C557D"/>
    <w:rsid w:val="002C68A7"/>
    <w:rsid w:val="002C6ADD"/>
    <w:rsid w:val="002D5817"/>
    <w:rsid w:val="002E0C04"/>
    <w:rsid w:val="002E38BF"/>
    <w:rsid w:val="002E4B01"/>
    <w:rsid w:val="002F0D05"/>
    <w:rsid w:val="002F2848"/>
    <w:rsid w:val="002F504B"/>
    <w:rsid w:val="002F6EE8"/>
    <w:rsid w:val="00305A34"/>
    <w:rsid w:val="00310997"/>
    <w:rsid w:val="00315A83"/>
    <w:rsid w:val="00320C98"/>
    <w:rsid w:val="00320FA6"/>
    <w:rsid w:val="00336182"/>
    <w:rsid w:val="00341853"/>
    <w:rsid w:val="00341A35"/>
    <w:rsid w:val="00341B81"/>
    <w:rsid w:val="00342FD7"/>
    <w:rsid w:val="00343FFE"/>
    <w:rsid w:val="0035180F"/>
    <w:rsid w:val="0035361B"/>
    <w:rsid w:val="00354C52"/>
    <w:rsid w:val="003619E7"/>
    <w:rsid w:val="00366BEB"/>
    <w:rsid w:val="003672B9"/>
    <w:rsid w:val="003731B7"/>
    <w:rsid w:val="00380E94"/>
    <w:rsid w:val="00381C37"/>
    <w:rsid w:val="00382F75"/>
    <w:rsid w:val="00384692"/>
    <w:rsid w:val="003918C0"/>
    <w:rsid w:val="00393F65"/>
    <w:rsid w:val="003A3C01"/>
    <w:rsid w:val="003A3E31"/>
    <w:rsid w:val="003A536B"/>
    <w:rsid w:val="003A566C"/>
    <w:rsid w:val="003A5B3C"/>
    <w:rsid w:val="003B07E0"/>
    <w:rsid w:val="003B1B0F"/>
    <w:rsid w:val="003B4912"/>
    <w:rsid w:val="003B4B89"/>
    <w:rsid w:val="003B6762"/>
    <w:rsid w:val="003B74DA"/>
    <w:rsid w:val="003C264E"/>
    <w:rsid w:val="003C2CE8"/>
    <w:rsid w:val="003C555C"/>
    <w:rsid w:val="003C71BE"/>
    <w:rsid w:val="003D3F7D"/>
    <w:rsid w:val="003D6056"/>
    <w:rsid w:val="003E51E7"/>
    <w:rsid w:val="003F0531"/>
    <w:rsid w:val="003F175A"/>
    <w:rsid w:val="003F26FD"/>
    <w:rsid w:val="003F6CC1"/>
    <w:rsid w:val="00401205"/>
    <w:rsid w:val="004019E3"/>
    <w:rsid w:val="00402216"/>
    <w:rsid w:val="00402A73"/>
    <w:rsid w:val="00403C7C"/>
    <w:rsid w:val="0040711B"/>
    <w:rsid w:val="004142AD"/>
    <w:rsid w:val="00422B3E"/>
    <w:rsid w:val="00425C9D"/>
    <w:rsid w:val="00432B39"/>
    <w:rsid w:val="00432CDD"/>
    <w:rsid w:val="00433427"/>
    <w:rsid w:val="00437CC5"/>
    <w:rsid w:val="00442E9A"/>
    <w:rsid w:val="004432FC"/>
    <w:rsid w:val="00445124"/>
    <w:rsid w:val="004465E0"/>
    <w:rsid w:val="00447FA4"/>
    <w:rsid w:val="00454529"/>
    <w:rsid w:val="0045519B"/>
    <w:rsid w:val="0045634D"/>
    <w:rsid w:val="004622D0"/>
    <w:rsid w:val="00464C66"/>
    <w:rsid w:val="00464F9C"/>
    <w:rsid w:val="00466034"/>
    <w:rsid w:val="004672B4"/>
    <w:rsid w:val="00476E01"/>
    <w:rsid w:val="004862C3"/>
    <w:rsid w:val="00486967"/>
    <w:rsid w:val="00490F4E"/>
    <w:rsid w:val="004926B2"/>
    <w:rsid w:val="00495CA9"/>
    <w:rsid w:val="004A0BE6"/>
    <w:rsid w:val="004A2788"/>
    <w:rsid w:val="004A5921"/>
    <w:rsid w:val="004A6FAC"/>
    <w:rsid w:val="004B0D33"/>
    <w:rsid w:val="004B2A5F"/>
    <w:rsid w:val="004B2DEA"/>
    <w:rsid w:val="004C2342"/>
    <w:rsid w:val="004D1CDD"/>
    <w:rsid w:val="004D7271"/>
    <w:rsid w:val="004D7AC4"/>
    <w:rsid w:val="004E07F8"/>
    <w:rsid w:val="004E6F97"/>
    <w:rsid w:val="004E7ABA"/>
    <w:rsid w:val="004F4362"/>
    <w:rsid w:val="004F4434"/>
    <w:rsid w:val="004F5990"/>
    <w:rsid w:val="004F7BC3"/>
    <w:rsid w:val="0050048F"/>
    <w:rsid w:val="005011EE"/>
    <w:rsid w:val="00506A81"/>
    <w:rsid w:val="005207E8"/>
    <w:rsid w:val="00526DED"/>
    <w:rsid w:val="00531E50"/>
    <w:rsid w:val="005342E0"/>
    <w:rsid w:val="005346AF"/>
    <w:rsid w:val="0053518B"/>
    <w:rsid w:val="00535A30"/>
    <w:rsid w:val="00537A0E"/>
    <w:rsid w:val="00541DB7"/>
    <w:rsid w:val="00550AA2"/>
    <w:rsid w:val="00552D46"/>
    <w:rsid w:val="00552F5E"/>
    <w:rsid w:val="00555E98"/>
    <w:rsid w:val="00557D0E"/>
    <w:rsid w:val="005662FA"/>
    <w:rsid w:val="00570EEC"/>
    <w:rsid w:val="005817F1"/>
    <w:rsid w:val="0058526B"/>
    <w:rsid w:val="00587035"/>
    <w:rsid w:val="00593CBE"/>
    <w:rsid w:val="00595998"/>
    <w:rsid w:val="005A2888"/>
    <w:rsid w:val="005A411D"/>
    <w:rsid w:val="005B1425"/>
    <w:rsid w:val="005B274D"/>
    <w:rsid w:val="005B31C2"/>
    <w:rsid w:val="005B5E53"/>
    <w:rsid w:val="005C4563"/>
    <w:rsid w:val="005C5AE4"/>
    <w:rsid w:val="005C5CCD"/>
    <w:rsid w:val="005C6CA5"/>
    <w:rsid w:val="005D0C28"/>
    <w:rsid w:val="005D3EA7"/>
    <w:rsid w:val="005E0529"/>
    <w:rsid w:val="005E1455"/>
    <w:rsid w:val="005E39FF"/>
    <w:rsid w:val="005E4252"/>
    <w:rsid w:val="005E5E4D"/>
    <w:rsid w:val="005F146C"/>
    <w:rsid w:val="005F15FD"/>
    <w:rsid w:val="005F19A5"/>
    <w:rsid w:val="005F1BDA"/>
    <w:rsid w:val="005F38C9"/>
    <w:rsid w:val="005F70A1"/>
    <w:rsid w:val="00604042"/>
    <w:rsid w:val="0061011C"/>
    <w:rsid w:val="00611C42"/>
    <w:rsid w:val="006129F6"/>
    <w:rsid w:val="00612E86"/>
    <w:rsid w:val="0061338D"/>
    <w:rsid w:val="00613EF7"/>
    <w:rsid w:val="00615A9D"/>
    <w:rsid w:val="006207A1"/>
    <w:rsid w:val="0062270E"/>
    <w:rsid w:val="00622E67"/>
    <w:rsid w:val="00627410"/>
    <w:rsid w:val="00630A89"/>
    <w:rsid w:val="006418D5"/>
    <w:rsid w:val="00641AAD"/>
    <w:rsid w:val="00645878"/>
    <w:rsid w:val="00662B29"/>
    <w:rsid w:val="006660A6"/>
    <w:rsid w:val="00666CB0"/>
    <w:rsid w:val="006725BE"/>
    <w:rsid w:val="0067392A"/>
    <w:rsid w:val="00673F2C"/>
    <w:rsid w:val="00674AA4"/>
    <w:rsid w:val="00684AC7"/>
    <w:rsid w:val="00686C98"/>
    <w:rsid w:val="006876B7"/>
    <w:rsid w:val="006939F9"/>
    <w:rsid w:val="006943C7"/>
    <w:rsid w:val="00696BCF"/>
    <w:rsid w:val="00697EBC"/>
    <w:rsid w:val="006A1CB0"/>
    <w:rsid w:val="006A208F"/>
    <w:rsid w:val="006A488A"/>
    <w:rsid w:val="006A6355"/>
    <w:rsid w:val="006C092B"/>
    <w:rsid w:val="006C4923"/>
    <w:rsid w:val="006C6628"/>
    <w:rsid w:val="006C7CAA"/>
    <w:rsid w:val="006D0727"/>
    <w:rsid w:val="006D08A2"/>
    <w:rsid w:val="006D2C3E"/>
    <w:rsid w:val="006D55C8"/>
    <w:rsid w:val="006D6C79"/>
    <w:rsid w:val="006E35D6"/>
    <w:rsid w:val="006E399C"/>
    <w:rsid w:val="006F6B65"/>
    <w:rsid w:val="0070098F"/>
    <w:rsid w:val="00715C32"/>
    <w:rsid w:val="00717A01"/>
    <w:rsid w:val="00724C9E"/>
    <w:rsid w:val="00740769"/>
    <w:rsid w:val="00750018"/>
    <w:rsid w:val="007514ED"/>
    <w:rsid w:val="00751D02"/>
    <w:rsid w:val="00751D3E"/>
    <w:rsid w:val="00752AA5"/>
    <w:rsid w:val="00753E87"/>
    <w:rsid w:val="00757312"/>
    <w:rsid w:val="007637AD"/>
    <w:rsid w:val="00764792"/>
    <w:rsid w:val="007647B9"/>
    <w:rsid w:val="00765CB3"/>
    <w:rsid w:val="00773A24"/>
    <w:rsid w:val="00775363"/>
    <w:rsid w:val="00777FFB"/>
    <w:rsid w:val="00780150"/>
    <w:rsid w:val="007832CF"/>
    <w:rsid w:val="0079536B"/>
    <w:rsid w:val="007A25B0"/>
    <w:rsid w:val="007A4901"/>
    <w:rsid w:val="007B38D5"/>
    <w:rsid w:val="007B4722"/>
    <w:rsid w:val="007B7476"/>
    <w:rsid w:val="007C1F3B"/>
    <w:rsid w:val="007C4675"/>
    <w:rsid w:val="007C7602"/>
    <w:rsid w:val="007C7624"/>
    <w:rsid w:val="007C7F2B"/>
    <w:rsid w:val="007E4CD1"/>
    <w:rsid w:val="007E4F4D"/>
    <w:rsid w:val="007F0386"/>
    <w:rsid w:val="007F5825"/>
    <w:rsid w:val="007F61F5"/>
    <w:rsid w:val="00801D15"/>
    <w:rsid w:val="00803248"/>
    <w:rsid w:val="00804661"/>
    <w:rsid w:val="0080484C"/>
    <w:rsid w:val="00806699"/>
    <w:rsid w:val="00806BD8"/>
    <w:rsid w:val="00811392"/>
    <w:rsid w:val="00812314"/>
    <w:rsid w:val="008136DF"/>
    <w:rsid w:val="008169E2"/>
    <w:rsid w:val="00816C48"/>
    <w:rsid w:val="00824D7D"/>
    <w:rsid w:val="00842626"/>
    <w:rsid w:val="00842938"/>
    <w:rsid w:val="008534FE"/>
    <w:rsid w:val="008548C1"/>
    <w:rsid w:val="00867935"/>
    <w:rsid w:val="00872FDC"/>
    <w:rsid w:val="00876D8C"/>
    <w:rsid w:val="00884E85"/>
    <w:rsid w:val="008863F1"/>
    <w:rsid w:val="00890593"/>
    <w:rsid w:val="0089221E"/>
    <w:rsid w:val="008937FF"/>
    <w:rsid w:val="008947D2"/>
    <w:rsid w:val="00894E3E"/>
    <w:rsid w:val="008955F7"/>
    <w:rsid w:val="008A1437"/>
    <w:rsid w:val="008A2B0C"/>
    <w:rsid w:val="008A2BAD"/>
    <w:rsid w:val="008A3203"/>
    <w:rsid w:val="008B2B55"/>
    <w:rsid w:val="008B4FDC"/>
    <w:rsid w:val="008B53F9"/>
    <w:rsid w:val="008D39E2"/>
    <w:rsid w:val="008D58C8"/>
    <w:rsid w:val="008E0F96"/>
    <w:rsid w:val="008E3BFD"/>
    <w:rsid w:val="008E3D34"/>
    <w:rsid w:val="008E4A9D"/>
    <w:rsid w:val="008E556B"/>
    <w:rsid w:val="008F1025"/>
    <w:rsid w:val="008F55BD"/>
    <w:rsid w:val="009167A0"/>
    <w:rsid w:val="00923AF6"/>
    <w:rsid w:val="0093517C"/>
    <w:rsid w:val="0094291A"/>
    <w:rsid w:val="00945B83"/>
    <w:rsid w:val="00947B4C"/>
    <w:rsid w:val="00952D47"/>
    <w:rsid w:val="0095377C"/>
    <w:rsid w:val="00956A63"/>
    <w:rsid w:val="00956F88"/>
    <w:rsid w:val="009612C5"/>
    <w:rsid w:val="0096321E"/>
    <w:rsid w:val="00966A97"/>
    <w:rsid w:val="00972CD1"/>
    <w:rsid w:val="009749E8"/>
    <w:rsid w:val="00975248"/>
    <w:rsid w:val="00976ECC"/>
    <w:rsid w:val="009774F4"/>
    <w:rsid w:val="00977D07"/>
    <w:rsid w:val="009808CD"/>
    <w:rsid w:val="00982994"/>
    <w:rsid w:val="00983D9B"/>
    <w:rsid w:val="009872EA"/>
    <w:rsid w:val="00990C89"/>
    <w:rsid w:val="00991D1A"/>
    <w:rsid w:val="00992C2B"/>
    <w:rsid w:val="009952DE"/>
    <w:rsid w:val="009A2151"/>
    <w:rsid w:val="009B2E6D"/>
    <w:rsid w:val="009B35AC"/>
    <w:rsid w:val="009B4B54"/>
    <w:rsid w:val="009C4505"/>
    <w:rsid w:val="009C4700"/>
    <w:rsid w:val="009C7094"/>
    <w:rsid w:val="009D04F1"/>
    <w:rsid w:val="009D7694"/>
    <w:rsid w:val="009E062B"/>
    <w:rsid w:val="009E1F1D"/>
    <w:rsid w:val="009E4B83"/>
    <w:rsid w:val="009E5582"/>
    <w:rsid w:val="009F01C3"/>
    <w:rsid w:val="009F19E5"/>
    <w:rsid w:val="009F324F"/>
    <w:rsid w:val="009F4236"/>
    <w:rsid w:val="009F5033"/>
    <w:rsid w:val="009F5CA4"/>
    <w:rsid w:val="009F5F87"/>
    <w:rsid w:val="00A0661B"/>
    <w:rsid w:val="00A0716A"/>
    <w:rsid w:val="00A10F54"/>
    <w:rsid w:val="00A11EF5"/>
    <w:rsid w:val="00A26C64"/>
    <w:rsid w:val="00A30CDD"/>
    <w:rsid w:val="00A317CB"/>
    <w:rsid w:val="00A31B05"/>
    <w:rsid w:val="00A32C89"/>
    <w:rsid w:val="00A3426B"/>
    <w:rsid w:val="00A349BB"/>
    <w:rsid w:val="00A35806"/>
    <w:rsid w:val="00A45997"/>
    <w:rsid w:val="00A53EAB"/>
    <w:rsid w:val="00A5668D"/>
    <w:rsid w:val="00A569F7"/>
    <w:rsid w:val="00A5735F"/>
    <w:rsid w:val="00A63171"/>
    <w:rsid w:val="00A66D66"/>
    <w:rsid w:val="00A72672"/>
    <w:rsid w:val="00A72BC5"/>
    <w:rsid w:val="00A77ACE"/>
    <w:rsid w:val="00A825EB"/>
    <w:rsid w:val="00A83B21"/>
    <w:rsid w:val="00A87D7A"/>
    <w:rsid w:val="00A91316"/>
    <w:rsid w:val="00A91A0D"/>
    <w:rsid w:val="00A91DC5"/>
    <w:rsid w:val="00A94ACA"/>
    <w:rsid w:val="00A95750"/>
    <w:rsid w:val="00A96425"/>
    <w:rsid w:val="00AA2498"/>
    <w:rsid w:val="00AA34FC"/>
    <w:rsid w:val="00AA549D"/>
    <w:rsid w:val="00AB5DCF"/>
    <w:rsid w:val="00AC4055"/>
    <w:rsid w:val="00AC5395"/>
    <w:rsid w:val="00AD55DE"/>
    <w:rsid w:val="00AD6D12"/>
    <w:rsid w:val="00AE1C01"/>
    <w:rsid w:val="00AF48D3"/>
    <w:rsid w:val="00AF4A80"/>
    <w:rsid w:val="00AF693F"/>
    <w:rsid w:val="00AF797D"/>
    <w:rsid w:val="00B00259"/>
    <w:rsid w:val="00B02512"/>
    <w:rsid w:val="00B048A3"/>
    <w:rsid w:val="00B04D8A"/>
    <w:rsid w:val="00B10609"/>
    <w:rsid w:val="00B14FEB"/>
    <w:rsid w:val="00B17348"/>
    <w:rsid w:val="00B24E7C"/>
    <w:rsid w:val="00B255D3"/>
    <w:rsid w:val="00B27883"/>
    <w:rsid w:val="00B33D18"/>
    <w:rsid w:val="00B36E05"/>
    <w:rsid w:val="00B370E7"/>
    <w:rsid w:val="00B51EF9"/>
    <w:rsid w:val="00B53875"/>
    <w:rsid w:val="00B54EF3"/>
    <w:rsid w:val="00B56218"/>
    <w:rsid w:val="00B567DC"/>
    <w:rsid w:val="00B57413"/>
    <w:rsid w:val="00B6138C"/>
    <w:rsid w:val="00B62605"/>
    <w:rsid w:val="00B62E82"/>
    <w:rsid w:val="00B65F2C"/>
    <w:rsid w:val="00B6601E"/>
    <w:rsid w:val="00B6783C"/>
    <w:rsid w:val="00B71F28"/>
    <w:rsid w:val="00B72B2C"/>
    <w:rsid w:val="00B75875"/>
    <w:rsid w:val="00B846CF"/>
    <w:rsid w:val="00B854D0"/>
    <w:rsid w:val="00B85DA4"/>
    <w:rsid w:val="00B91F6F"/>
    <w:rsid w:val="00B933DE"/>
    <w:rsid w:val="00B94B3C"/>
    <w:rsid w:val="00BA404E"/>
    <w:rsid w:val="00BA5013"/>
    <w:rsid w:val="00BA6C2D"/>
    <w:rsid w:val="00BA736A"/>
    <w:rsid w:val="00BB3EAE"/>
    <w:rsid w:val="00BB4B54"/>
    <w:rsid w:val="00BB51E2"/>
    <w:rsid w:val="00BC1E19"/>
    <w:rsid w:val="00BC2F57"/>
    <w:rsid w:val="00BC396E"/>
    <w:rsid w:val="00BD1632"/>
    <w:rsid w:val="00BD1C36"/>
    <w:rsid w:val="00BD419A"/>
    <w:rsid w:val="00BD75AD"/>
    <w:rsid w:val="00BE1A2E"/>
    <w:rsid w:val="00BE1CCC"/>
    <w:rsid w:val="00BE3129"/>
    <w:rsid w:val="00BE402D"/>
    <w:rsid w:val="00BE484D"/>
    <w:rsid w:val="00BE5F1C"/>
    <w:rsid w:val="00BF1520"/>
    <w:rsid w:val="00BF34FB"/>
    <w:rsid w:val="00BF3BE0"/>
    <w:rsid w:val="00C01D8A"/>
    <w:rsid w:val="00C025C2"/>
    <w:rsid w:val="00C032C8"/>
    <w:rsid w:val="00C0578A"/>
    <w:rsid w:val="00C22A75"/>
    <w:rsid w:val="00C23154"/>
    <w:rsid w:val="00C33A67"/>
    <w:rsid w:val="00C50F73"/>
    <w:rsid w:val="00C53627"/>
    <w:rsid w:val="00C64842"/>
    <w:rsid w:val="00C65201"/>
    <w:rsid w:val="00C658B5"/>
    <w:rsid w:val="00C707B6"/>
    <w:rsid w:val="00C718A2"/>
    <w:rsid w:val="00C72308"/>
    <w:rsid w:val="00C730FB"/>
    <w:rsid w:val="00C76AC0"/>
    <w:rsid w:val="00C7746F"/>
    <w:rsid w:val="00C86756"/>
    <w:rsid w:val="00C86A70"/>
    <w:rsid w:val="00C946A1"/>
    <w:rsid w:val="00CA0289"/>
    <w:rsid w:val="00CA7FEB"/>
    <w:rsid w:val="00CB464B"/>
    <w:rsid w:val="00CB5639"/>
    <w:rsid w:val="00CB7CB5"/>
    <w:rsid w:val="00CC5C14"/>
    <w:rsid w:val="00CC5F52"/>
    <w:rsid w:val="00CC7998"/>
    <w:rsid w:val="00CD1BBA"/>
    <w:rsid w:val="00CD38E4"/>
    <w:rsid w:val="00CD74D9"/>
    <w:rsid w:val="00CE1492"/>
    <w:rsid w:val="00CE5FD3"/>
    <w:rsid w:val="00CE6ED6"/>
    <w:rsid w:val="00CE726B"/>
    <w:rsid w:val="00CF6F20"/>
    <w:rsid w:val="00CF7B04"/>
    <w:rsid w:val="00D002E3"/>
    <w:rsid w:val="00D04D5F"/>
    <w:rsid w:val="00D05AEF"/>
    <w:rsid w:val="00D11566"/>
    <w:rsid w:val="00D1646E"/>
    <w:rsid w:val="00D16CD9"/>
    <w:rsid w:val="00D22CDB"/>
    <w:rsid w:val="00D27E61"/>
    <w:rsid w:val="00D309E6"/>
    <w:rsid w:val="00D33A11"/>
    <w:rsid w:val="00D34B80"/>
    <w:rsid w:val="00D34D8B"/>
    <w:rsid w:val="00D3644E"/>
    <w:rsid w:val="00D366E3"/>
    <w:rsid w:val="00D406F1"/>
    <w:rsid w:val="00D43A25"/>
    <w:rsid w:val="00D45DB9"/>
    <w:rsid w:val="00D53502"/>
    <w:rsid w:val="00D605FF"/>
    <w:rsid w:val="00D62E59"/>
    <w:rsid w:val="00D6436D"/>
    <w:rsid w:val="00D72CB1"/>
    <w:rsid w:val="00D73E19"/>
    <w:rsid w:val="00D74000"/>
    <w:rsid w:val="00D80D59"/>
    <w:rsid w:val="00D80EF4"/>
    <w:rsid w:val="00D8217C"/>
    <w:rsid w:val="00D8479F"/>
    <w:rsid w:val="00D84E5A"/>
    <w:rsid w:val="00D8798A"/>
    <w:rsid w:val="00D93A45"/>
    <w:rsid w:val="00D9500F"/>
    <w:rsid w:val="00D96328"/>
    <w:rsid w:val="00D96D0B"/>
    <w:rsid w:val="00DA30E0"/>
    <w:rsid w:val="00DA5183"/>
    <w:rsid w:val="00DB2602"/>
    <w:rsid w:val="00DB2B52"/>
    <w:rsid w:val="00DB4991"/>
    <w:rsid w:val="00DB5B45"/>
    <w:rsid w:val="00DB5B60"/>
    <w:rsid w:val="00DC2C88"/>
    <w:rsid w:val="00DC3715"/>
    <w:rsid w:val="00DC3F77"/>
    <w:rsid w:val="00DC6FB7"/>
    <w:rsid w:val="00DC7897"/>
    <w:rsid w:val="00DD1131"/>
    <w:rsid w:val="00DD4900"/>
    <w:rsid w:val="00DD4EF4"/>
    <w:rsid w:val="00DE1016"/>
    <w:rsid w:val="00DE1CEE"/>
    <w:rsid w:val="00DF52E9"/>
    <w:rsid w:val="00DF6A96"/>
    <w:rsid w:val="00E02DA5"/>
    <w:rsid w:val="00E04240"/>
    <w:rsid w:val="00E04E73"/>
    <w:rsid w:val="00E079E2"/>
    <w:rsid w:val="00E13683"/>
    <w:rsid w:val="00E141B4"/>
    <w:rsid w:val="00E26690"/>
    <w:rsid w:val="00E30D51"/>
    <w:rsid w:val="00E32978"/>
    <w:rsid w:val="00E32C0C"/>
    <w:rsid w:val="00E330E4"/>
    <w:rsid w:val="00E3553A"/>
    <w:rsid w:val="00E355B3"/>
    <w:rsid w:val="00E37314"/>
    <w:rsid w:val="00E45894"/>
    <w:rsid w:val="00E52907"/>
    <w:rsid w:val="00E55A6D"/>
    <w:rsid w:val="00E55E11"/>
    <w:rsid w:val="00E60AC1"/>
    <w:rsid w:val="00E61E79"/>
    <w:rsid w:val="00E818B8"/>
    <w:rsid w:val="00E824CC"/>
    <w:rsid w:val="00E847D9"/>
    <w:rsid w:val="00E95509"/>
    <w:rsid w:val="00E95545"/>
    <w:rsid w:val="00E970DA"/>
    <w:rsid w:val="00EA05C4"/>
    <w:rsid w:val="00EA165B"/>
    <w:rsid w:val="00EA1B57"/>
    <w:rsid w:val="00EA383A"/>
    <w:rsid w:val="00EA7861"/>
    <w:rsid w:val="00EC082F"/>
    <w:rsid w:val="00EC408B"/>
    <w:rsid w:val="00EC4535"/>
    <w:rsid w:val="00EC5285"/>
    <w:rsid w:val="00EC6115"/>
    <w:rsid w:val="00EC75C5"/>
    <w:rsid w:val="00ED5A3C"/>
    <w:rsid w:val="00ED6A47"/>
    <w:rsid w:val="00EE532C"/>
    <w:rsid w:val="00EF2281"/>
    <w:rsid w:val="00F01EAE"/>
    <w:rsid w:val="00F04734"/>
    <w:rsid w:val="00F05414"/>
    <w:rsid w:val="00F07E63"/>
    <w:rsid w:val="00F109ED"/>
    <w:rsid w:val="00F1606A"/>
    <w:rsid w:val="00F2739D"/>
    <w:rsid w:val="00F300D6"/>
    <w:rsid w:val="00F3254C"/>
    <w:rsid w:val="00F337CF"/>
    <w:rsid w:val="00F36623"/>
    <w:rsid w:val="00F36B74"/>
    <w:rsid w:val="00F528D9"/>
    <w:rsid w:val="00F5391E"/>
    <w:rsid w:val="00F5645A"/>
    <w:rsid w:val="00F564EF"/>
    <w:rsid w:val="00F56D1A"/>
    <w:rsid w:val="00F60798"/>
    <w:rsid w:val="00F60E77"/>
    <w:rsid w:val="00F7266C"/>
    <w:rsid w:val="00F805BA"/>
    <w:rsid w:val="00F82E6C"/>
    <w:rsid w:val="00F86BCA"/>
    <w:rsid w:val="00F95634"/>
    <w:rsid w:val="00F957F4"/>
    <w:rsid w:val="00FA0046"/>
    <w:rsid w:val="00FA71F4"/>
    <w:rsid w:val="00FB577B"/>
    <w:rsid w:val="00FB78B4"/>
    <w:rsid w:val="00FB7D2B"/>
    <w:rsid w:val="00FC142C"/>
    <w:rsid w:val="00FC1A1A"/>
    <w:rsid w:val="00FC3635"/>
    <w:rsid w:val="00FC77A4"/>
    <w:rsid w:val="00FE191F"/>
    <w:rsid w:val="00FE293A"/>
    <w:rsid w:val="00FE3F5C"/>
    <w:rsid w:val="00FE4135"/>
    <w:rsid w:val="00FF3280"/>
    <w:rsid w:val="00FF63B9"/>
    <w:rsid w:val="00FF6F91"/>
    <w:rsid w:val="02E06803"/>
    <w:rsid w:val="02F2588B"/>
    <w:rsid w:val="0406C948"/>
    <w:rsid w:val="07595E85"/>
    <w:rsid w:val="08675261"/>
    <w:rsid w:val="0B3911B3"/>
    <w:rsid w:val="0D49B359"/>
    <w:rsid w:val="0E0A5FB4"/>
    <w:rsid w:val="0E6E440F"/>
    <w:rsid w:val="0EF6B1A8"/>
    <w:rsid w:val="176703CB"/>
    <w:rsid w:val="17A467D3"/>
    <w:rsid w:val="1DB2922F"/>
    <w:rsid w:val="1DE7E242"/>
    <w:rsid w:val="1E15B095"/>
    <w:rsid w:val="2136355B"/>
    <w:rsid w:val="2298AC55"/>
    <w:rsid w:val="2341E1B5"/>
    <w:rsid w:val="24ADD468"/>
    <w:rsid w:val="2686DBFF"/>
    <w:rsid w:val="28AB6ECF"/>
    <w:rsid w:val="28FBDCF8"/>
    <w:rsid w:val="2ABA5B9A"/>
    <w:rsid w:val="2B24D0AC"/>
    <w:rsid w:val="32E76416"/>
    <w:rsid w:val="33C23896"/>
    <w:rsid w:val="33F673AF"/>
    <w:rsid w:val="346C6870"/>
    <w:rsid w:val="35FC7265"/>
    <w:rsid w:val="398CC2B2"/>
    <w:rsid w:val="3C662CEE"/>
    <w:rsid w:val="3CA86063"/>
    <w:rsid w:val="3CD4F465"/>
    <w:rsid w:val="3CEF30B9"/>
    <w:rsid w:val="3D2A399D"/>
    <w:rsid w:val="3D4485CF"/>
    <w:rsid w:val="400BA9B9"/>
    <w:rsid w:val="411BE2E7"/>
    <w:rsid w:val="41868C4A"/>
    <w:rsid w:val="439A7E9B"/>
    <w:rsid w:val="43B9B16B"/>
    <w:rsid w:val="4454E4C8"/>
    <w:rsid w:val="454FC522"/>
    <w:rsid w:val="470620B0"/>
    <w:rsid w:val="47A210F1"/>
    <w:rsid w:val="4DD72936"/>
    <w:rsid w:val="4E677511"/>
    <w:rsid w:val="4EAEC3F1"/>
    <w:rsid w:val="507F5FFE"/>
    <w:rsid w:val="50E8CF7E"/>
    <w:rsid w:val="510C3995"/>
    <w:rsid w:val="552F5DDF"/>
    <w:rsid w:val="55929439"/>
    <w:rsid w:val="59E56ABF"/>
    <w:rsid w:val="5CE8B1E4"/>
    <w:rsid w:val="5F5E974A"/>
    <w:rsid w:val="60A0D9E3"/>
    <w:rsid w:val="60D3AE27"/>
    <w:rsid w:val="62F3F599"/>
    <w:rsid w:val="65863EEC"/>
    <w:rsid w:val="68F5F97F"/>
    <w:rsid w:val="69989FAD"/>
    <w:rsid w:val="6C1B5915"/>
    <w:rsid w:val="6EA76C00"/>
    <w:rsid w:val="6F595DC7"/>
    <w:rsid w:val="6FE72833"/>
    <w:rsid w:val="703DD994"/>
    <w:rsid w:val="7167AD30"/>
    <w:rsid w:val="72FEC8F2"/>
    <w:rsid w:val="7665F958"/>
    <w:rsid w:val="77D786BD"/>
    <w:rsid w:val="78010D0E"/>
    <w:rsid w:val="781B716F"/>
    <w:rsid w:val="7A78DD6C"/>
    <w:rsid w:val="7BD0CC67"/>
    <w:rsid w:val="7C7973F0"/>
    <w:rsid w:val="7D4FD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948E"/>
  <w15:chartTrackingRefBased/>
  <w15:docId w15:val="{AC649129-16A4-494C-8E19-1BF34768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D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0D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80D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80D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80D5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80D5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80D5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80D5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80D5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80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D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80D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80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D5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80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D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80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D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0D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F63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7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7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77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7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77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222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n.wikipedia.org/wiki/Central_Equatori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C41CAFBE15A4D965029491896D049" ma:contentTypeVersion="21" ma:contentTypeDescription="Create a new document." ma:contentTypeScope="" ma:versionID="88737d00d683899e0d4db62bc80450a4">
  <xsd:schema xmlns:xsd="http://www.w3.org/2001/XMLSchema" xmlns:xs="http://www.w3.org/2001/XMLSchema" xmlns:p="http://schemas.microsoft.com/office/2006/metadata/properties" xmlns:ns1="http://schemas.microsoft.com/sharepoint/v3" xmlns:ns2="5cbdab3b-54b6-4563-8405-ea6ff6b08fac" xmlns:ns3="fe982361-0c24-47c9-9eb4-92041be8c047" targetNamespace="http://schemas.microsoft.com/office/2006/metadata/properties" ma:root="true" ma:fieldsID="f4f7947a244371a3cd4895b45c6f51aa" ns1:_="" ns2:_="" ns3:_="">
    <xsd:import namespace="http://schemas.microsoft.com/sharepoint/v3"/>
    <xsd:import namespace="5cbdab3b-54b6-4563-8405-ea6ff6b08fac"/>
    <xsd:import namespace="fe982361-0c24-47c9-9eb4-92041be8c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ab3b-54b6-4563-8405-ea6ff6b0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361-0c24-47c9-9eb4-92041be8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70317-abfa-4127-9870-dceea45278de}" ma:internalName="TaxCatchAll" ma:showField="CatchAllData" ma:web="fe982361-0c24-47c9-9eb4-92041be8c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bdab3b-54b6-4563-8405-ea6ff6b08fac">
      <Terms xmlns="http://schemas.microsoft.com/office/infopath/2007/PartnerControls"/>
    </lcf76f155ced4ddcb4097134ff3c332f>
    <TaxCatchAll xmlns="fe982361-0c24-47c9-9eb4-92041be8c04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574BA2-E57C-4DC7-B25E-CA408654C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F07C7-8C52-4F27-B34D-5F4780C9B217}"/>
</file>

<file path=customXml/itemProps3.xml><?xml version="1.0" encoding="utf-8"?>
<ds:datastoreItem xmlns:ds="http://schemas.openxmlformats.org/officeDocument/2006/customXml" ds:itemID="{59AD488B-9232-420E-8288-E3CDBD3C7FFE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e982361-0c24-47c9-9eb4-92041be8c047"/>
    <ds:schemaRef ds:uri="5cbdab3b-54b6-4563-8405-ea6ff6b08fac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Saunders</dc:creator>
  <cp:keywords/>
  <dc:description/>
  <cp:lastModifiedBy>Hafeez Ur Rehman</cp:lastModifiedBy>
  <cp:revision>704</cp:revision>
  <dcterms:created xsi:type="dcterms:W3CDTF">2025-06-11T22:56:00Z</dcterms:created>
  <dcterms:modified xsi:type="dcterms:W3CDTF">2025-09-10T12:00:44Z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0x0101000A1C41CAFBE15A4D965029491896D049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