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427870" w:rsidRPr="00AA6C96" w14:paraId="44A798D1" w14:textId="77777777" w:rsidTr="00427870">
        <w:tc>
          <w:tcPr>
            <w:tcW w:w="704" w:type="dxa"/>
          </w:tcPr>
          <w:p w14:paraId="2D840896" w14:textId="046424DE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#</w:t>
            </w:r>
          </w:p>
        </w:tc>
        <w:tc>
          <w:tcPr>
            <w:tcW w:w="4111" w:type="dxa"/>
          </w:tcPr>
          <w:p w14:paraId="3D4A404E" w14:textId="68752519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Question</w:t>
            </w:r>
          </w:p>
        </w:tc>
        <w:tc>
          <w:tcPr>
            <w:tcW w:w="4201" w:type="dxa"/>
          </w:tcPr>
          <w:p w14:paraId="6491B3B2" w14:textId="711D16E2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 xml:space="preserve">Answer </w:t>
            </w:r>
          </w:p>
        </w:tc>
      </w:tr>
      <w:tr w:rsidR="00427870" w:rsidRPr="00AA6C96" w14:paraId="088CC4BC" w14:textId="77777777" w:rsidTr="00427870">
        <w:tc>
          <w:tcPr>
            <w:tcW w:w="704" w:type="dxa"/>
          </w:tcPr>
          <w:p w14:paraId="6C9E6C01" w14:textId="10E70276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1</w:t>
            </w:r>
          </w:p>
        </w:tc>
        <w:tc>
          <w:tcPr>
            <w:tcW w:w="4111" w:type="dxa"/>
          </w:tcPr>
          <w:p w14:paraId="132C14D1" w14:textId="77777777" w:rsidR="008B44A4" w:rsidRPr="008B44A4" w:rsidRDefault="008B44A4" w:rsidP="008B44A4">
            <w:pPr>
              <w:rPr>
                <w:rFonts w:eastAsia="Times New Roman"/>
                <w:lang w:val="en-US"/>
              </w:rPr>
            </w:pPr>
            <w:r w:rsidRPr="008B44A4">
              <w:rPr>
                <w:rFonts w:eastAsia="Times New Roman"/>
                <w:lang w:val="en-US"/>
              </w:rPr>
              <w:t>What is the scope of work? Is it three sites or one site for any Consultant?</w:t>
            </w:r>
          </w:p>
          <w:p w14:paraId="14A259A7" w14:textId="5F73724E" w:rsidR="00427870" w:rsidRPr="00AA6C96" w:rsidRDefault="00427870" w:rsidP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335615BD" w14:textId="3DD2ED77" w:rsidR="00427870" w:rsidRPr="00AA6C96" w:rsidRDefault="00E801FB" w:rsidP="008B44A4">
            <w:pPr>
              <w:rPr>
                <w:color w:val="002060"/>
              </w:rPr>
            </w:pPr>
            <w:r>
              <w:rPr>
                <w:color w:val="002060"/>
              </w:rPr>
              <w:t>Yes, there are three sites as reflected in the dossier i.e., Bugiri/Namayingo, Butaleja and Kaabong</w:t>
            </w:r>
          </w:p>
        </w:tc>
      </w:tr>
      <w:tr w:rsidR="00427870" w:rsidRPr="00AA6C96" w14:paraId="2A74261A" w14:textId="77777777" w:rsidTr="00427870">
        <w:tc>
          <w:tcPr>
            <w:tcW w:w="704" w:type="dxa"/>
          </w:tcPr>
          <w:p w14:paraId="1B64284E" w14:textId="2AE47476" w:rsidR="00427870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4111" w:type="dxa"/>
          </w:tcPr>
          <w:p w14:paraId="161A58E5" w14:textId="77777777" w:rsidR="008B44A4" w:rsidRPr="00B72EAF" w:rsidRDefault="008B44A4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 xml:space="preserve">Can a </w:t>
            </w:r>
            <w:proofErr w:type="gramStart"/>
            <w:r w:rsidRPr="00B72EAF">
              <w:rPr>
                <w:rFonts w:eastAsia="Times New Roman"/>
                <w:lang w:val="en-US"/>
              </w:rPr>
              <w:t>Consultant</w:t>
            </w:r>
            <w:proofErr w:type="gramEnd"/>
            <w:r w:rsidRPr="00B72EAF">
              <w:rPr>
                <w:rFonts w:eastAsia="Times New Roman"/>
                <w:lang w:val="en-US"/>
              </w:rPr>
              <w:t xml:space="preserve"> expect to win all three sites?</w:t>
            </w:r>
          </w:p>
          <w:p w14:paraId="6C6B012A" w14:textId="57167CAB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60189760" w14:textId="23F91BC0" w:rsidR="00427870" w:rsidRPr="00AA6C96" w:rsidRDefault="00E801FB" w:rsidP="006E673B">
            <w:pPr>
              <w:rPr>
                <w:color w:val="002060"/>
              </w:rPr>
            </w:pPr>
            <w:r>
              <w:rPr>
                <w:color w:val="002060"/>
              </w:rPr>
              <w:t>Yes please</w:t>
            </w:r>
          </w:p>
        </w:tc>
      </w:tr>
      <w:tr w:rsidR="00427870" w:rsidRPr="00AA6C96" w14:paraId="71A7D2F2" w14:textId="77777777" w:rsidTr="00427870">
        <w:tc>
          <w:tcPr>
            <w:tcW w:w="704" w:type="dxa"/>
          </w:tcPr>
          <w:p w14:paraId="44E68052" w14:textId="1954ACB5" w:rsidR="00427870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4111" w:type="dxa"/>
          </w:tcPr>
          <w:p w14:paraId="64DBD288" w14:textId="77777777" w:rsidR="008B44A4" w:rsidRPr="00B72EAF" w:rsidRDefault="008B44A4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 xml:space="preserve">Can a </w:t>
            </w:r>
            <w:proofErr w:type="gramStart"/>
            <w:r w:rsidRPr="00B72EAF">
              <w:rPr>
                <w:rFonts w:eastAsia="Times New Roman"/>
                <w:lang w:val="en-US"/>
              </w:rPr>
              <w:t>Consultant</w:t>
            </w:r>
            <w:proofErr w:type="gramEnd"/>
            <w:r w:rsidRPr="00B72EAF">
              <w:rPr>
                <w:rFonts w:eastAsia="Times New Roman"/>
                <w:lang w:val="en-US"/>
              </w:rPr>
              <w:t xml:space="preserve"> bid for only one of the sites?</w:t>
            </w:r>
          </w:p>
          <w:p w14:paraId="59D5B190" w14:textId="2C6BFF02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7609D11A" w14:textId="3428CC67" w:rsidR="00427870" w:rsidRPr="00AA6C96" w:rsidRDefault="00E801FB" w:rsidP="00427870">
            <w:pPr>
              <w:rPr>
                <w:color w:val="002060"/>
              </w:rPr>
            </w:pPr>
            <w:r>
              <w:rPr>
                <w:color w:val="002060"/>
              </w:rPr>
              <w:t xml:space="preserve">No All sites as our first concern </w:t>
            </w:r>
            <w:proofErr w:type="gramStart"/>
            <w:r>
              <w:rPr>
                <w:color w:val="002060"/>
              </w:rPr>
              <w:t>is</w:t>
            </w:r>
            <w:proofErr w:type="gramEnd"/>
            <w:r>
              <w:rPr>
                <w:color w:val="002060"/>
              </w:rPr>
              <w:t xml:space="preserve"> to contract one as this is likely to attract economies of scale</w:t>
            </w:r>
          </w:p>
        </w:tc>
      </w:tr>
      <w:tr w:rsidR="00427870" w:rsidRPr="00AA6C96" w14:paraId="33EE29CB" w14:textId="77777777" w:rsidTr="00427870">
        <w:tc>
          <w:tcPr>
            <w:tcW w:w="704" w:type="dxa"/>
          </w:tcPr>
          <w:p w14:paraId="4E547B89" w14:textId="60726D6D" w:rsidR="00427870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111" w:type="dxa"/>
          </w:tcPr>
          <w:p w14:paraId="5BE02302" w14:textId="77777777" w:rsidR="008B44A4" w:rsidRPr="00B72EAF" w:rsidRDefault="008B44A4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 xml:space="preserve">The </w:t>
            </w:r>
            <w:proofErr w:type="spellStart"/>
            <w:r w:rsidRPr="00B72EAF">
              <w:rPr>
                <w:rFonts w:eastAsia="Times New Roman"/>
                <w:lang w:val="en-US"/>
              </w:rPr>
              <w:t>ToR</w:t>
            </w:r>
            <w:proofErr w:type="spellEnd"/>
            <w:r w:rsidRPr="00B72EAF">
              <w:rPr>
                <w:rFonts w:eastAsia="Times New Roman"/>
                <w:lang w:val="en-US"/>
              </w:rPr>
              <w:t xml:space="preserve"> suggests the completion of one site before going on the next one. Can the work be done concurrently, if more than one site is awarded to the same consultant?</w:t>
            </w:r>
          </w:p>
          <w:p w14:paraId="1A1406B8" w14:textId="3A998B07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0D52936B" w14:textId="3A447D87" w:rsidR="00427870" w:rsidRPr="00AA6C96" w:rsidRDefault="00E801FB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>No</w:t>
            </w:r>
            <w:proofErr w:type="gramEnd"/>
            <w:r>
              <w:rPr>
                <w:color w:val="002060"/>
              </w:rPr>
              <w:t xml:space="preserve"> our implementation is chronologically arranged as we move from one site to another also to open up for lesson learnt from site to another while implementing</w:t>
            </w:r>
          </w:p>
        </w:tc>
      </w:tr>
      <w:tr w:rsidR="008B44A4" w:rsidRPr="00AA6C96" w14:paraId="450A2D09" w14:textId="77777777" w:rsidTr="00427870">
        <w:tc>
          <w:tcPr>
            <w:tcW w:w="704" w:type="dxa"/>
          </w:tcPr>
          <w:p w14:paraId="23073101" w14:textId="20DCC7FD" w:rsidR="008B44A4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4111" w:type="dxa"/>
          </w:tcPr>
          <w:p w14:paraId="5842FD8D" w14:textId="77777777" w:rsidR="008B44A4" w:rsidRPr="00B72EAF" w:rsidRDefault="008B44A4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>Should a consultant present three different sets of CVs for each of the sites?</w:t>
            </w:r>
          </w:p>
          <w:p w14:paraId="65EFB5AC" w14:textId="77777777" w:rsidR="008B44A4" w:rsidRPr="00AA6C96" w:rsidRDefault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38197E2C" w14:textId="675B834E" w:rsidR="008B44A4" w:rsidRPr="00AA6C96" w:rsidRDefault="00E801FB">
            <w:pPr>
              <w:rPr>
                <w:color w:val="002060"/>
              </w:rPr>
            </w:pPr>
            <w:r>
              <w:rPr>
                <w:color w:val="002060"/>
              </w:rPr>
              <w:t>One set is ok</w:t>
            </w:r>
          </w:p>
        </w:tc>
      </w:tr>
      <w:tr w:rsidR="008B44A4" w:rsidRPr="00AA6C96" w14:paraId="26AF99CA" w14:textId="77777777" w:rsidTr="00427870">
        <w:tc>
          <w:tcPr>
            <w:tcW w:w="704" w:type="dxa"/>
          </w:tcPr>
          <w:p w14:paraId="0B88A1D4" w14:textId="50F10322" w:rsidR="008B44A4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111" w:type="dxa"/>
          </w:tcPr>
          <w:p w14:paraId="202F35A9" w14:textId="77777777" w:rsidR="00B72EAF" w:rsidRPr="00B72EAF" w:rsidRDefault="00B72EAF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 xml:space="preserve">What </w:t>
            </w:r>
            <w:proofErr w:type="gramStart"/>
            <w:r w:rsidRPr="00B72EAF">
              <w:rPr>
                <w:rFonts w:eastAsia="Times New Roman"/>
                <w:lang w:val="en-US"/>
              </w:rPr>
              <w:t>is</w:t>
            </w:r>
            <w:proofErr w:type="gramEnd"/>
            <w:r w:rsidRPr="00B72EAF">
              <w:rPr>
                <w:rFonts w:eastAsia="Times New Roman"/>
                <w:lang w:val="en-US"/>
              </w:rPr>
              <w:t xml:space="preserve"> the evaluation criteria, such as technical versus financial, or even for the different personnel?</w:t>
            </w:r>
          </w:p>
          <w:p w14:paraId="13B4F4D2" w14:textId="77777777" w:rsidR="008B44A4" w:rsidRPr="00AA6C96" w:rsidRDefault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2020D59D" w14:textId="0D007008" w:rsidR="008B44A4" w:rsidRPr="00AA6C96" w:rsidRDefault="00E447BA">
            <w:pPr>
              <w:rPr>
                <w:color w:val="002060"/>
              </w:rPr>
            </w:pPr>
            <w:r>
              <w:rPr>
                <w:color w:val="002060"/>
              </w:rPr>
              <w:t>Financial attracts 35%, Technical 55% and workplan/methodology 10%. All the parameters scored upon in technical and workplan are mentioned in the dossier</w:t>
            </w:r>
          </w:p>
        </w:tc>
      </w:tr>
      <w:tr w:rsidR="008B44A4" w:rsidRPr="00AA6C96" w14:paraId="356CD2EC" w14:textId="77777777" w:rsidTr="00427870">
        <w:tc>
          <w:tcPr>
            <w:tcW w:w="704" w:type="dxa"/>
          </w:tcPr>
          <w:p w14:paraId="3EB0A029" w14:textId="49122178" w:rsidR="008B44A4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111" w:type="dxa"/>
          </w:tcPr>
          <w:p w14:paraId="085F6E24" w14:textId="77777777" w:rsidR="00B72EAF" w:rsidRPr="00B72EAF" w:rsidRDefault="00B72EAF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>What is the currency of the financial proposals?</w:t>
            </w:r>
          </w:p>
          <w:p w14:paraId="18FD1E70" w14:textId="77777777" w:rsidR="008B44A4" w:rsidRPr="00AA6C96" w:rsidRDefault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4185647C" w14:textId="421593A1" w:rsidR="008B44A4" w:rsidRPr="00AA6C96" w:rsidRDefault="00E447BA">
            <w:pPr>
              <w:rPr>
                <w:color w:val="002060"/>
              </w:rPr>
            </w:pPr>
            <w:r>
              <w:rPr>
                <w:color w:val="002060"/>
              </w:rPr>
              <w:t>Preferably UGX:</w:t>
            </w:r>
          </w:p>
        </w:tc>
      </w:tr>
      <w:tr w:rsidR="008B44A4" w:rsidRPr="00AA6C96" w14:paraId="7FD632BB" w14:textId="77777777" w:rsidTr="00427870">
        <w:tc>
          <w:tcPr>
            <w:tcW w:w="704" w:type="dxa"/>
          </w:tcPr>
          <w:p w14:paraId="31939F80" w14:textId="579AC492" w:rsidR="008B44A4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4111" w:type="dxa"/>
          </w:tcPr>
          <w:p w14:paraId="08D22258" w14:textId="77777777" w:rsidR="00B72EAF" w:rsidRPr="00B72EAF" w:rsidRDefault="00B72EAF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>When do you anticipate this work to commence?</w:t>
            </w:r>
          </w:p>
          <w:p w14:paraId="075AB876" w14:textId="77777777" w:rsidR="008B44A4" w:rsidRPr="00AA6C96" w:rsidRDefault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3E633ADE" w14:textId="4787C0DE" w:rsidR="008B44A4" w:rsidRPr="00AA6C96" w:rsidRDefault="00E447BA">
            <w:pPr>
              <w:rPr>
                <w:color w:val="002060"/>
              </w:rPr>
            </w:pPr>
            <w:r>
              <w:rPr>
                <w:color w:val="002060"/>
              </w:rPr>
              <w:t>Within 90 days after tender submission</w:t>
            </w:r>
          </w:p>
        </w:tc>
      </w:tr>
      <w:tr w:rsidR="008B44A4" w:rsidRPr="00AA6C96" w14:paraId="78AD6CD1" w14:textId="77777777" w:rsidTr="00427870">
        <w:tc>
          <w:tcPr>
            <w:tcW w:w="704" w:type="dxa"/>
          </w:tcPr>
          <w:p w14:paraId="57653933" w14:textId="6773F5EB" w:rsidR="008B44A4" w:rsidRPr="00AA6C96" w:rsidRDefault="008B44A4">
            <w:pPr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111" w:type="dxa"/>
          </w:tcPr>
          <w:p w14:paraId="12DEA4D1" w14:textId="77777777" w:rsidR="00B72EAF" w:rsidRPr="00B72EAF" w:rsidRDefault="00B72EAF" w:rsidP="00B72EAF">
            <w:pPr>
              <w:rPr>
                <w:rFonts w:eastAsia="Times New Roman"/>
                <w:lang w:val="en-US"/>
              </w:rPr>
            </w:pPr>
            <w:r w:rsidRPr="00B72EAF">
              <w:rPr>
                <w:rFonts w:eastAsia="Times New Roman"/>
                <w:lang w:val="en-US"/>
              </w:rPr>
              <w:t xml:space="preserve">What are the exact locations of the boreholes? This is important </w:t>
            </w:r>
            <w:proofErr w:type="gramStart"/>
            <w:r w:rsidRPr="00B72EAF">
              <w:rPr>
                <w:rFonts w:eastAsia="Times New Roman"/>
                <w:lang w:val="en-US"/>
              </w:rPr>
              <w:t>in order to</w:t>
            </w:r>
            <w:proofErr w:type="gramEnd"/>
            <w:r w:rsidRPr="00B72EAF">
              <w:rPr>
                <w:rFonts w:eastAsia="Times New Roman"/>
                <w:lang w:val="en-US"/>
              </w:rPr>
              <w:t xml:space="preserve"> help assess the cost of transport.</w:t>
            </w:r>
          </w:p>
          <w:p w14:paraId="615050BD" w14:textId="77777777" w:rsidR="008B44A4" w:rsidRPr="00AA6C96" w:rsidRDefault="008B44A4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61363C1F" w14:textId="2C8E4B68" w:rsidR="008B44A4" w:rsidRPr="00AA6C96" w:rsidRDefault="00A8238B">
            <w:pPr>
              <w:rPr>
                <w:color w:val="002060"/>
              </w:rPr>
            </w:pPr>
            <w:r>
              <w:rPr>
                <w:color w:val="002060"/>
              </w:rPr>
              <w:t>Sites are n</w:t>
            </w:r>
            <w:r w:rsidR="00E447BA">
              <w:rPr>
                <w:color w:val="002060"/>
              </w:rPr>
              <w:t xml:space="preserve">ot yet determined but </w:t>
            </w:r>
            <w:r>
              <w:rPr>
                <w:color w:val="002060"/>
              </w:rPr>
              <w:t xml:space="preserve">within </w:t>
            </w:r>
            <w:r w:rsidR="00E447BA">
              <w:rPr>
                <w:color w:val="002060"/>
              </w:rPr>
              <w:t xml:space="preserve"> Bugiri/Namayingo, Butaleja and Kaabong districts.</w:t>
            </w:r>
          </w:p>
        </w:tc>
      </w:tr>
      <w:tr w:rsidR="008B44A4" w:rsidRPr="00AA6C96" w14:paraId="6600A8F8" w14:textId="77777777" w:rsidTr="00427870">
        <w:tc>
          <w:tcPr>
            <w:tcW w:w="704" w:type="dxa"/>
          </w:tcPr>
          <w:p w14:paraId="30347BEC" w14:textId="4FE717A5" w:rsidR="008B44A4" w:rsidRPr="00AA6C96" w:rsidRDefault="00692C29">
            <w:pPr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4111" w:type="dxa"/>
          </w:tcPr>
          <w:p w14:paraId="6882D916" w14:textId="47F07A59" w:rsidR="008B44A4" w:rsidRPr="00AA6C96" w:rsidRDefault="00692C29">
            <w:pPr>
              <w:rPr>
                <w:color w:val="002060"/>
              </w:rPr>
            </w:pPr>
            <w:r>
              <w:rPr>
                <w:color w:val="002060"/>
              </w:rPr>
              <w:t>What is the TIN?</w:t>
            </w:r>
          </w:p>
        </w:tc>
        <w:tc>
          <w:tcPr>
            <w:tcW w:w="4201" w:type="dxa"/>
          </w:tcPr>
          <w:p w14:paraId="7ECEFE59" w14:textId="239926A5" w:rsidR="008B44A4" w:rsidRPr="00692C29" w:rsidRDefault="00692C29">
            <w:r>
              <w:t xml:space="preserve">GOAL Relief and Development Organisation </w:t>
            </w:r>
            <w:r>
              <w:rPr>
                <w:b/>
                <w:bCs/>
                <w:sz w:val="28"/>
                <w:szCs w:val="28"/>
              </w:rPr>
              <w:t xml:space="preserve">TIN </w:t>
            </w:r>
            <w:r>
              <w:rPr>
                <w:sz w:val="28"/>
                <w:szCs w:val="28"/>
              </w:rPr>
              <w:t>is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1000134517</w:t>
            </w:r>
          </w:p>
        </w:tc>
      </w:tr>
      <w:tr w:rsidR="00E8236D" w:rsidRPr="00AA6C96" w14:paraId="2054DFD0" w14:textId="77777777" w:rsidTr="00427870">
        <w:tc>
          <w:tcPr>
            <w:tcW w:w="704" w:type="dxa"/>
          </w:tcPr>
          <w:p w14:paraId="573FB65B" w14:textId="3B1CBA84" w:rsidR="00E8236D" w:rsidRDefault="00E8236D">
            <w:pPr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4111" w:type="dxa"/>
          </w:tcPr>
          <w:p w14:paraId="4243A9BC" w14:textId="3B9E1AA4" w:rsidR="00E8236D" w:rsidRPr="00E8236D" w:rsidRDefault="00E8236D">
            <w:pPr>
              <w:rPr>
                <w:lang w:val="en-US"/>
              </w:rPr>
            </w:pPr>
            <w:r>
              <w:rPr>
                <w:lang w:val="en-US"/>
              </w:rPr>
              <w:t>Maybe one question could have been rephrased: No.5 for the CVs. I meant to say whether the Consultant should submit one CV for each of the projects. But it was answered indirectly, in your responses to No. 2 and No. 3.</w:t>
            </w:r>
          </w:p>
        </w:tc>
        <w:tc>
          <w:tcPr>
            <w:tcW w:w="4201" w:type="dxa"/>
          </w:tcPr>
          <w:p w14:paraId="38D3619F" w14:textId="56F92389" w:rsidR="00E8236D" w:rsidRDefault="00D7543A">
            <w:r>
              <w:t>See 5 above</w:t>
            </w:r>
          </w:p>
        </w:tc>
      </w:tr>
      <w:tr w:rsidR="00E8236D" w:rsidRPr="00AA6C96" w14:paraId="7D68D4C1" w14:textId="77777777" w:rsidTr="00427870">
        <w:tc>
          <w:tcPr>
            <w:tcW w:w="704" w:type="dxa"/>
          </w:tcPr>
          <w:p w14:paraId="05D5873D" w14:textId="2F8D09CB" w:rsidR="00E8236D" w:rsidRDefault="00E8236D">
            <w:pPr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4111" w:type="dxa"/>
          </w:tcPr>
          <w:p w14:paraId="6BB1E4CE" w14:textId="1F5BC602" w:rsidR="00E8236D" w:rsidRDefault="00E8236D">
            <w:pPr>
              <w:rPr>
                <w:color w:val="002060"/>
              </w:rPr>
            </w:pPr>
            <w:r>
              <w:rPr>
                <w:i/>
                <w:iCs/>
                <w:lang w:val="en-US"/>
              </w:rPr>
              <w:t>‘whether you can accept a bid from an Individual Consultant or from a firm and what the requirements for that qualification are’.</w:t>
            </w:r>
          </w:p>
        </w:tc>
        <w:tc>
          <w:tcPr>
            <w:tcW w:w="4201" w:type="dxa"/>
          </w:tcPr>
          <w:p w14:paraId="22A3B523" w14:textId="30A153ED" w:rsidR="00E8236D" w:rsidRDefault="00D7543A">
            <w:r>
              <w:t>We are dealing firms and not individuals</w:t>
            </w:r>
          </w:p>
        </w:tc>
      </w:tr>
    </w:tbl>
    <w:p w14:paraId="7FEB8556" w14:textId="77777777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D9" w14:textId="77777777" w:rsidR="003F5832" w:rsidRDefault="003F5832" w:rsidP="00427870">
      <w:pPr>
        <w:spacing w:after="0" w:line="240" w:lineRule="auto"/>
      </w:pPr>
      <w:r>
        <w:separator/>
      </w:r>
    </w:p>
  </w:endnote>
  <w:endnote w:type="continuationSeparator" w:id="0">
    <w:p w14:paraId="4452B8C1" w14:textId="77777777" w:rsidR="003F5832" w:rsidRDefault="003F5832" w:rsidP="00427870">
      <w:pPr>
        <w:spacing w:after="0" w:line="240" w:lineRule="auto"/>
      </w:pPr>
      <w:r>
        <w:continuationSeparator/>
      </w:r>
    </w:p>
  </w:endnote>
  <w:endnote w:type="continuationNotice" w:id="1">
    <w:p w14:paraId="287B0CF0" w14:textId="77777777" w:rsidR="003F5832" w:rsidRDefault="003F5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53F7" w14:textId="77777777" w:rsidR="003F5832" w:rsidRDefault="003F5832" w:rsidP="00427870">
      <w:pPr>
        <w:spacing w:after="0" w:line="240" w:lineRule="auto"/>
      </w:pPr>
      <w:r>
        <w:separator/>
      </w:r>
    </w:p>
  </w:footnote>
  <w:footnote w:type="continuationSeparator" w:id="0">
    <w:p w14:paraId="33CBBF15" w14:textId="77777777" w:rsidR="003F5832" w:rsidRDefault="003F5832" w:rsidP="00427870">
      <w:pPr>
        <w:spacing w:after="0" w:line="240" w:lineRule="auto"/>
      </w:pPr>
      <w:r>
        <w:continuationSeparator/>
      </w:r>
    </w:p>
  </w:footnote>
  <w:footnote w:type="continuationNotice" w:id="1">
    <w:p w14:paraId="65C4BE49" w14:textId="77777777" w:rsidR="003F5832" w:rsidRDefault="003F5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0717" w14:textId="77777777" w:rsidR="00323116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</w:p>
  <w:p w14:paraId="38C06E18" w14:textId="77777777" w:rsidR="004A376D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t xml:space="preserve"> </w:t>
    </w:r>
  </w:p>
  <w:p w14:paraId="56C1F2D6" w14:textId="6939559A" w:rsidR="006778EA" w:rsidRPr="008B44A4" w:rsidRDefault="008B44A4" w:rsidP="00427870">
    <w:pPr>
      <w:pStyle w:val="Header"/>
      <w:tabs>
        <w:tab w:val="clear" w:pos="4513"/>
        <w:tab w:val="clear" w:pos="9026"/>
        <w:tab w:val="left" w:pos="6000"/>
      </w:tabs>
    </w:pPr>
    <w:r>
      <w:t xml:space="preserve">GB-UN4-5184 </w:t>
    </w:r>
    <w:r w:rsidRPr="008B44A4">
      <w:rPr>
        <w:rStyle w:val="normaltextrun"/>
        <w:rFonts w:ascii="Arial" w:hAnsi="Arial" w:cs="Arial"/>
        <w:color w:val="000000"/>
        <w:shd w:val="clear" w:color="auto" w:fill="FFFFFF"/>
      </w:rPr>
      <w:t>Design of One Piped Water Scheme in each of Bugiri, Butaleja and Kaabong Districts (including completion of project brief/ESIA according to the NEMA Act)</w:t>
    </w:r>
  </w:p>
  <w:p w14:paraId="3A9DCF83" w14:textId="77777777" w:rsidR="006778EA" w:rsidRPr="008B44A4" w:rsidRDefault="006778EA" w:rsidP="00427870">
    <w:pPr>
      <w:pStyle w:val="Header"/>
      <w:tabs>
        <w:tab w:val="clear" w:pos="4513"/>
        <w:tab w:val="clear" w:pos="9026"/>
        <w:tab w:val="left" w:pos="6000"/>
      </w:tabs>
    </w:pPr>
  </w:p>
  <w:p w14:paraId="5A7CFF83" w14:textId="300B3FDD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t>Clarifi</w:t>
    </w:r>
    <w:r w:rsidR="00582071">
      <w:t>cations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C6D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6F7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F3D"/>
    <w:multiLevelType w:val="hybridMultilevel"/>
    <w:tmpl w:val="5EB0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43E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61A0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B37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A70B6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DF4"/>
    <w:multiLevelType w:val="hybridMultilevel"/>
    <w:tmpl w:val="5EB0F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2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513644">
    <w:abstractNumId w:val="2"/>
  </w:num>
  <w:num w:numId="3" w16cid:durableId="990016573">
    <w:abstractNumId w:val="6"/>
  </w:num>
  <w:num w:numId="4" w16cid:durableId="1519781409">
    <w:abstractNumId w:val="5"/>
  </w:num>
  <w:num w:numId="5" w16cid:durableId="1005522342">
    <w:abstractNumId w:val="3"/>
  </w:num>
  <w:num w:numId="6" w16cid:durableId="903561838">
    <w:abstractNumId w:val="7"/>
  </w:num>
  <w:num w:numId="7" w16cid:durableId="412818751">
    <w:abstractNumId w:val="0"/>
  </w:num>
  <w:num w:numId="8" w16cid:durableId="2131777589">
    <w:abstractNumId w:val="4"/>
  </w:num>
  <w:num w:numId="9" w16cid:durableId="85512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71C5F"/>
    <w:rsid w:val="00097AF9"/>
    <w:rsid w:val="000E5024"/>
    <w:rsid w:val="00151D88"/>
    <w:rsid w:val="00163C54"/>
    <w:rsid w:val="002758BD"/>
    <w:rsid w:val="002A1C8A"/>
    <w:rsid w:val="00323116"/>
    <w:rsid w:val="003E5BAB"/>
    <w:rsid w:val="003F5832"/>
    <w:rsid w:val="00427870"/>
    <w:rsid w:val="00450B4F"/>
    <w:rsid w:val="004A376D"/>
    <w:rsid w:val="00582071"/>
    <w:rsid w:val="006778EA"/>
    <w:rsid w:val="00692C29"/>
    <w:rsid w:val="006E673B"/>
    <w:rsid w:val="00767308"/>
    <w:rsid w:val="008A61B0"/>
    <w:rsid w:val="008B44A4"/>
    <w:rsid w:val="008D3E7D"/>
    <w:rsid w:val="008F5C1C"/>
    <w:rsid w:val="009974E2"/>
    <w:rsid w:val="009F7788"/>
    <w:rsid w:val="00A8238B"/>
    <w:rsid w:val="00A9007A"/>
    <w:rsid w:val="00AA6C96"/>
    <w:rsid w:val="00B20F2A"/>
    <w:rsid w:val="00B72EAF"/>
    <w:rsid w:val="00BE46FE"/>
    <w:rsid w:val="00C116AF"/>
    <w:rsid w:val="00D4416A"/>
    <w:rsid w:val="00D7543A"/>
    <w:rsid w:val="00E447BA"/>
    <w:rsid w:val="00E801FB"/>
    <w:rsid w:val="00E8236D"/>
    <w:rsid w:val="00EA3E2A"/>
    <w:rsid w:val="00F16BE7"/>
    <w:rsid w:val="00F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B44A4"/>
  </w:style>
  <w:style w:type="paragraph" w:styleId="ListParagraph">
    <w:name w:val="List Paragraph"/>
    <w:basedOn w:val="Normal"/>
    <w:uiPriority w:val="34"/>
    <w:qFormat/>
    <w:rsid w:val="008B44A4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361-0c24-47c9-9eb4-92041be8c047" xsi:nil="true"/>
    <lcf76f155ced4ddcb4097134ff3c332f xmlns="c4be69f3-881a-4609-83c1-c3eadc4a9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6ED6CCD896D4B891D9E42AAC13038" ma:contentTypeVersion="14" ma:contentTypeDescription="Create a new document." ma:contentTypeScope="" ma:versionID="2cafb6e818a115455f46cacb6a7220f9">
  <xsd:schema xmlns:xsd="http://www.w3.org/2001/XMLSchema" xmlns:xs="http://www.w3.org/2001/XMLSchema" xmlns:p="http://schemas.microsoft.com/office/2006/metadata/properties" xmlns:ns2="c4be69f3-881a-4609-83c1-c3eadc4a9e80" xmlns:ns3="fe982361-0c24-47c9-9eb4-92041be8c047" targetNamespace="http://schemas.microsoft.com/office/2006/metadata/properties" ma:root="true" ma:fieldsID="b145c35ada6e19b8e48da064987a5003" ns2:_="" ns3:_="">
    <xsd:import namespace="c4be69f3-881a-4609-83c1-c3eadc4a9e80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69f3-881a-4609-83c1-c3eadc4a9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c4be69f3-881a-4609-83c1-c3eadc4a9e80"/>
  </ds:schemaRefs>
</ds:datastoreItem>
</file>

<file path=customXml/itemProps2.xml><?xml version="1.0" encoding="utf-8"?>
<ds:datastoreItem xmlns:ds="http://schemas.openxmlformats.org/officeDocument/2006/customXml" ds:itemID="{E3793DB5-3285-4626-B3EE-4F975D31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69f3-881a-4609-83c1-c3eadc4a9e80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Godfrey Magoma</cp:lastModifiedBy>
  <cp:revision>2</cp:revision>
  <dcterms:created xsi:type="dcterms:W3CDTF">2022-08-09T12:49:00Z</dcterms:created>
  <dcterms:modified xsi:type="dcterms:W3CDTF">2022-08-09T12:49:00Z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0x0101000FD6ED6CCD896D4B891D9E42AAC13038</vt:lpwstr>
  </property>
</Properties>
</file>