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18CF" w14:textId="0CEDA74A" w:rsidR="00175C4E" w:rsidRDefault="00175C4E">
      <w:r>
        <w:t>DUB-</w:t>
      </w:r>
      <w:r w:rsidR="00285F41">
        <w:t>LGD-2367</w:t>
      </w:r>
      <w:r>
        <w:t xml:space="preserve"> clarification published </w:t>
      </w:r>
      <w:r w:rsidR="00285F41">
        <w:t>14/10/2021</w:t>
      </w:r>
      <w:r w:rsidR="003B33B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75C4E" w:rsidRPr="00AA6C96" w14:paraId="44A798D1" w14:textId="77777777" w:rsidTr="00D43BB3">
        <w:tc>
          <w:tcPr>
            <w:tcW w:w="704" w:type="dxa"/>
          </w:tcPr>
          <w:p w14:paraId="78D3FEDB" w14:textId="2AF5A3C7" w:rsidR="00175C4E" w:rsidRPr="00997BAA" w:rsidRDefault="00175C4E">
            <w:r w:rsidRPr="00997BAA">
              <w:t>#</w:t>
            </w:r>
          </w:p>
          <w:p w14:paraId="2D840896" w14:textId="3817819C" w:rsidR="00175C4E" w:rsidRPr="00997BAA" w:rsidRDefault="00175C4E"/>
        </w:tc>
        <w:tc>
          <w:tcPr>
            <w:tcW w:w="8312" w:type="dxa"/>
          </w:tcPr>
          <w:p w14:paraId="6491B3B2" w14:textId="368D6964" w:rsidR="00175C4E" w:rsidRPr="00997BAA" w:rsidRDefault="00175C4E" w:rsidP="00175C4E">
            <w:r w:rsidRPr="00997BAA">
              <w:t>Clarification</w:t>
            </w:r>
            <w:r w:rsidR="00E63C73" w:rsidRPr="00997BAA">
              <w:t>s</w:t>
            </w:r>
            <w:r w:rsidRPr="00997BAA">
              <w:t xml:space="preserve"> </w:t>
            </w:r>
          </w:p>
        </w:tc>
      </w:tr>
      <w:tr w:rsidR="00175C4E" w:rsidRPr="00AA6C96" w14:paraId="088CC4BC" w14:textId="77777777" w:rsidTr="005A0127">
        <w:tc>
          <w:tcPr>
            <w:tcW w:w="704" w:type="dxa"/>
          </w:tcPr>
          <w:p w14:paraId="6C9E6C01" w14:textId="10E70276" w:rsidR="00175C4E" w:rsidRPr="00997BAA" w:rsidRDefault="00175C4E">
            <w:r w:rsidRPr="00997BAA">
              <w:t>1</w:t>
            </w:r>
          </w:p>
        </w:tc>
        <w:tc>
          <w:tcPr>
            <w:tcW w:w="8312" w:type="dxa"/>
          </w:tcPr>
          <w:p w14:paraId="553A3026" w14:textId="77777777" w:rsidR="000C0BC9" w:rsidRPr="00997BAA" w:rsidRDefault="000C0BC9" w:rsidP="000C0BC9">
            <w:pPr>
              <w:rPr>
                <w:rFonts w:eastAsia="Times New Roman"/>
              </w:rPr>
            </w:pPr>
            <w:r w:rsidRPr="00997BAA">
              <w:rPr>
                <w:rFonts w:eastAsia="Times New Roman"/>
              </w:rPr>
              <w:t>Due to the absence of key staff during the second half of October, we would like to ask for an extension of the submission deadline by two weeks.</w:t>
            </w:r>
          </w:p>
          <w:p w14:paraId="0700589B" w14:textId="52E924EB" w:rsidR="00E63C73" w:rsidRPr="00997BAA" w:rsidRDefault="00E63C73" w:rsidP="005F0896">
            <w:pPr>
              <w:rPr>
                <w:rFonts w:eastAsia="Times New Roman"/>
              </w:rPr>
            </w:pPr>
          </w:p>
          <w:p w14:paraId="17BF662B" w14:textId="77777777" w:rsidR="00175C4E" w:rsidRDefault="009F63E2" w:rsidP="00997BAA">
            <w:pPr>
              <w:rPr>
                <w:color w:val="1F4E79" w:themeColor="accent1" w:themeShade="80"/>
              </w:rPr>
            </w:pPr>
            <w:r w:rsidRPr="009F63E2">
              <w:rPr>
                <w:color w:val="1F4E79" w:themeColor="accent1" w:themeShade="80"/>
              </w:rPr>
              <w:t>Reply:</w:t>
            </w:r>
          </w:p>
          <w:p w14:paraId="335615BD" w14:textId="2A79CBE0" w:rsidR="009F63E2" w:rsidRPr="0086637C" w:rsidRDefault="0086637C" w:rsidP="009F63E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Currently, we are not planning to extend the deadline.</w:t>
            </w:r>
          </w:p>
        </w:tc>
      </w:tr>
      <w:tr w:rsidR="005F0896" w:rsidRPr="00AA6C96" w14:paraId="2DB2A1A4" w14:textId="77777777" w:rsidTr="005A0127">
        <w:tc>
          <w:tcPr>
            <w:tcW w:w="704" w:type="dxa"/>
          </w:tcPr>
          <w:p w14:paraId="73DA58F5" w14:textId="14B43B56" w:rsidR="00A87C3B" w:rsidRPr="00997BAA" w:rsidRDefault="000C0BC9">
            <w:r w:rsidRPr="00997BAA">
              <w:t>2</w:t>
            </w:r>
          </w:p>
        </w:tc>
        <w:tc>
          <w:tcPr>
            <w:tcW w:w="8312" w:type="dxa"/>
          </w:tcPr>
          <w:p w14:paraId="24F67835" w14:textId="77777777" w:rsidR="005F0896" w:rsidRDefault="001E5F95" w:rsidP="005F0896">
            <w:pPr>
              <w:rPr>
                <w:rFonts w:eastAsia="Times New Roman"/>
              </w:rPr>
            </w:pPr>
            <w:r w:rsidRPr="00997BAA">
              <w:rPr>
                <w:rFonts w:eastAsia="Times New Roman"/>
              </w:rPr>
              <w:t>Can you provide further information on the number of hardware units expected under Lot 2 of this frame agreement?</w:t>
            </w:r>
          </w:p>
          <w:p w14:paraId="07C050BA" w14:textId="77777777" w:rsidR="00FF0B8E" w:rsidRDefault="00FF0B8E" w:rsidP="005F0896">
            <w:pPr>
              <w:rPr>
                <w:rFonts w:eastAsia="Times New Roman"/>
              </w:rPr>
            </w:pPr>
          </w:p>
          <w:p w14:paraId="416D40DB" w14:textId="77777777" w:rsidR="00FF0B8E" w:rsidRDefault="00FF0B8E" w:rsidP="005F0896">
            <w:pPr>
              <w:rPr>
                <w:rFonts w:eastAsia="Times New Roman"/>
              </w:rPr>
            </w:pPr>
          </w:p>
          <w:p w14:paraId="78A2058B" w14:textId="77777777" w:rsidR="00FF0B8E" w:rsidRPr="00FF0B8E" w:rsidRDefault="00FF0B8E" w:rsidP="005F0896">
            <w:pPr>
              <w:rPr>
                <w:rFonts w:eastAsia="Times New Roman"/>
                <w:color w:val="1F4E79" w:themeColor="accent1" w:themeShade="80"/>
              </w:rPr>
            </w:pPr>
            <w:r w:rsidRPr="00FF0B8E">
              <w:rPr>
                <w:rFonts w:eastAsia="Times New Roman"/>
                <w:color w:val="1F4E79" w:themeColor="accent1" w:themeShade="80"/>
              </w:rPr>
              <w:t>Reply:</w:t>
            </w:r>
          </w:p>
          <w:p w14:paraId="1A93A877" w14:textId="58D74210" w:rsidR="00FF0B8E" w:rsidRPr="00997BAA" w:rsidRDefault="00FF0B8E" w:rsidP="005F0896">
            <w:r w:rsidRPr="00FF0B8E">
              <w:rPr>
                <w:rFonts w:eastAsia="Times New Roman"/>
                <w:color w:val="1F4E79" w:themeColor="accent1" w:themeShade="80"/>
              </w:rPr>
              <w:t>As the winning bidder will be signing a Framework Agreement</w:t>
            </w:r>
            <w:r w:rsidR="0086637C">
              <w:rPr>
                <w:rFonts w:eastAsia="Times New Roman"/>
                <w:color w:val="1F4E79" w:themeColor="accent1" w:themeShade="80"/>
              </w:rPr>
              <w:t>,</w:t>
            </w:r>
            <w:r w:rsidRPr="00FF0B8E">
              <w:rPr>
                <w:rFonts w:eastAsia="Times New Roman"/>
                <w:color w:val="1F4E79" w:themeColor="accent1" w:themeShade="80"/>
              </w:rPr>
              <w:t xml:space="preserve"> GOAL as</w:t>
            </w:r>
            <w:r w:rsidR="00676CB4">
              <w:rPr>
                <w:rFonts w:eastAsia="Times New Roman"/>
                <w:color w:val="1F4E79" w:themeColor="accent1" w:themeShade="80"/>
              </w:rPr>
              <w:t xml:space="preserve"> the</w:t>
            </w:r>
            <w:r w:rsidRPr="00FF0B8E">
              <w:rPr>
                <w:rFonts w:eastAsia="Times New Roman"/>
                <w:color w:val="1F4E79" w:themeColor="accent1" w:themeShade="80"/>
              </w:rPr>
              <w:t xml:space="preserve"> contracting authority does not guarantee any volume of orders under</w:t>
            </w:r>
            <w:r w:rsidR="00676CB4">
              <w:rPr>
                <w:rFonts w:eastAsia="Times New Roman"/>
                <w:color w:val="1F4E79" w:themeColor="accent1" w:themeShade="80"/>
              </w:rPr>
              <w:t xml:space="preserve"> the</w:t>
            </w:r>
            <w:r w:rsidRPr="00FF0B8E">
              <w:rPr>
                <w:rFonts w:eastAsia="Times New Roman"/>
                <w:color w:val="1F4E79" w:themeColor="accent1" w:themeShade="80"/>
              </w:rPr>
              <w:t xml:space="preserve"> FWA as all purchases will be based on the needs and activities of GOAL</w:t>
            </w:r>
            <w:r w:rsidR="00676CB4">
              <w:rPr>
                <w:rFonts w:eastAsia="Times New Roman"/>
                <w:color w:val="1F4E79" w:themeColor="accent1" w:themeShade="80"/>
              </w:rPr>
              <w:t xml:space="preserve"> which will v</w:t>
            </w:r>
            <w:r w:rsidR="00734CEC">
              <w:rPr>
                <w:rFonts w:eastAsia="Times New Roman"/>
                <w:color w:val="1F4E79" w:themeColor="accent1" w:themeShade="80"/>
              </w:rPr>
              <w:t>a</w:t>
            </w:r>
            <w:r w:rsidR="00676CB4">
              <w:rPr>
                <w:rFonts w:eastAsia="Times New Roman"/>
                <w:color w:val="1F4E79" w:themeColor="accent1" w:themeShade="80"/>
              </w:rPr>
              <w:t>ry over time.</w:t>
            </w:r>
          </w:p>
        </w:tc>
      </w:tr>
      <w:tr w:rsidR="000C0BC9" w:rsidRPr="00AA6C96" w14:paraId="26DA4679" w14:textId="77777777" w:rsidTr="005A0127">
        <w:tc>
          <w:tcPr>
            <w:tcW w:w="704" w:type="dxa"/>
          </w:tcPr>
          <w:p w14:paraId="2A3B74FF" w14:textId="491FF7A6" w:rsidR="000C0BC9" w:rsidRPr="00997BAA" w:rsidRDefault="000C0BC9">
            <w:r w:rsidRPr="00997BAA">
              <w:t>3</w:t>
            </w:r>
          </w:p>
        </w:tc>
        <w:tc>
          <w:tcPr>
            <w:tcW w:w="8312" w:type="dxa"/>
          </w:tcPr>
          <w:p w14:paraId="7D4C9764" w14:textId="77777777" w:rsidR="001E5F95" w:rsidRDefault="001E5F95" w:rsidP="001E5F95">
            <w:pPr>
              <w:rPr>
                <w:rFonts w:eastAsia="Times New Roman"/>
              </w:rPr>
            </w:pPr>
            <w:r w:rsidRPr="00997BAA">
              <w:rPr>
                <w:rFonts w:eastAsia="Times New Roman"/>
              </w:rPr>
              <w:t>Is it mandatory to be Tier 1 provider for airtime and data services?</w:t>
            </w:r>
          </w:p>
          <w:p w14:paraId="1F9DED8E" w14:textId="77777777" w:rsidR="00584FCF" w:rsidRDefault="00584FCF" w:rsidP="001E5F95">
            <w:pPr>
              <w:rPr>
                <w:rFonts w:eastAsia="Times New Roman"/>
              </w:rPr>
            </w:pPr>
          </w:p>
          <w:p w14:paraId="439B0DB4" w14:textId="77777777" w:rsidR="00584FCF" w:rsidRDefault="00584FCF" w:rsidP="001E5F95">
            <w:pPr>
              <w:rPr>
                <w:rFonts w:eastAsia="Times New Roman"/>
              </w:rPr>
            </w:pPr>
          </w:p>
          <w:p w14:paraId="21FC07B2" w14:textId="6E2560DB" w:rsidR="00584FCF" w:rsidRDefault="00584FCF" w:rsidP="001E5F95">
            <w:pPr>
              <w:rPr>
                <w:rFonts w:eastAsia="Times New Roman"/>
                <w:color w:val="1F4E79" w:themeColor="accent1" w:themeShade="80"/>
              </w:rPr>
            </w:pPr>
            <w:r w:rsidRPr="00584FCF">
              <w:rPr>
                <w:rFonts w:eastAsia="Times New Roman"/>
                <w:color w:val="1F4E79" w:themeColor="accent1" w:themeShade="80"/>
              </w:rPr>
              <w:t>Reply:</w:t>
            </w:r>
          </w:p>
          <w:p w14:paraId="46041D06" w14:textId="4463625D" w:rsidR="000C0BC9" w:rsidRPr="005C3F7E" w:rsidRDefault="00734CEC" w:rsidP="005F0896">
            <w:pPr>
              <w:rPr>
                <w:rFonts w:eastAsia="Times New Roman"/>
                <w:color w:val="1F4E79" w:themeColor="accent1" w:themeShade="80"/>
              </w:rPr>
            </w:pPr>
            <w:r>
              <w:rPr>
                <w:rFonts w:eastAsia="Times New Roman"/>
                <w:color w:val="1F4E79" w:themeColor="accent1" w:themeShade="80"/>
              </w:rPr>
              <w:t xml:space="preserve">It is preferred that the service provider be a Tier 1 </w:t>
            </w:r>
            <w:r w:rsidR="002C24D7">
              <w:rPr>
                <w:rFonts w:eastAsia="Times New Roman"/>
                <w:color w:val="1F4E79" w:themeColor="accent1" w:themeShade="80"/>
              </w:rPr>
              <w:t xml:space="preserve">provider for airtime and data services, although not essential. </w:t>
            </w:r>
            <w:r w:rsidR="00584FCF" w:rsidRPr="00584FCF">
              <w:rPr>
                <w:rFonts w:eastAsia="Times New Roman"/>
                <w:color w:val="1F4E79" w:themeColor="accent1" w:themeShade="80"/>
              </w:rPr>
              <w:t>If they are submitting a proposal for Lot 1 (provision of airtime and data services) they need to be able to provide both airtime and data services on the same sim. If a supplier can’t do that, we can suggest just submitting a proposal for Lot 2 (provision of equipment)</w:t>
            </w:r>
            <w:r w:rsidR="005C3F7E">
              <w:rPr>
                <w:rFonts w:eastAsia="Times New Roman"/>
                <w:color w:val="1F4E79" w:themeColor="accent1" w:themeShade="80"/>
              </w:rPr>
              <w:t>. The s</w:t>
            </w:r>
            <w:r w:rsidR="00584FCF" w:rsidRPr="00584FCF">
              <w:rPr>
                <w:color w:val="1F4E79" w:themeColor="accent1" w:themeShade="80"/>
              </w:rPr>
              <w:t xml:space="preserve">ervice provider </w:t>
            </w:r>
            <w:r w:rsidR="005C3F7E">
              <w:rPr>
                <w:color w:val="1F4E79" w:themeColor="accent1" w:themeShade="80"/>
              </w:rPr>
              <w:t>should</w:t>
            </w:r>
            <w:r w:rsidR="00584FCF" w:rsidRPr="00584FCF">
              <w:rPr>
                <w:color w:val="1F4E79" w:themeColor="accent1" w:themeShade="80"/>
              </w:rPr>
              <w:t xml:space="preserve"> confirm in their technical bid submission</w:t>
            </w:r>
            <w:r w:rsidR="00EC65F5">
              <w:rPr>
                <w:color w:val="1F4E79" w:themeColor="accent1" w:themeShade="80"/>
              </w:rPr>
              <w:t>.</w:t>
            </w:r>
          </w:p>
        </w:tc>
      </w:tr>
      <w:tr w:rsidR="000C0BC9" w:rsidRPr="00AA6C96" w14:paraId="6BE8178E" w14:textId="77777777" w:rsidTr="005A0127">
        <w:tc>
          <w:tcPr>
            <w:tcW w:w="704" w:type="dxa"/>
          </w:tcPr>
          <w:p w14:paraId="1C78E9CE" w14:textId="6A6C7A89" w:rsidR="000C0BC9" w:rsidRPr="00997BAA" w:rsidRDefault="000C0BC9">
            <w:r w:rsidRPr="00997BAA">
              <w:t>4</w:t>
            </w:r>
          </w:p>
        </w:tc>
        <w:tc>
          <w:tcPr>
            <w:tcW w:w="8312" w:type="dxa"/>
          </w:tcPr>
          <w:p w14:paraId="50B7663B" w14:textId="77777777" w:rsidR="000C0BC9" w:rsidRPr="00997BAA" w:rsidRDefault="001E5F95" w:rsidP="005F0896">
            <w:pPr>
              <w:rPr>
                <w:rFonts w:eastAsia="Times New Roman"/>
              </w:rPr>
            </w:pPr>
            <w:r w:rsidRPr="00997BAA">
              <w:rPr>
                <w:rFonts w:eastAsia="Times New Roman"/>
              </w:rPr>
              <w:t>Is shipping to sensitive countries also possible via GOAL logistics?</w:t>
            </w:r>
          </w:p>
          <w:p w14:paraId="2F6FFB77" w14:textId="77777777" w:rsidR="00AC0E39" w:rsidRDefault="00AC0E39" w:rsidP="005F0896">
            <w:pPr>
              <w:rPr>
                <w:rFonts w:eastAsia="Times New Roman"/>
              </w:rPr>
            </w:pPr>
          </w:p>
          <w:p w14:paraId="2A6CB285" w14:textId="77777777" w:rsidR="00997BAA" w:rsidRPr="00997BAA" w:rsidRDefault="00997BAA" w:rsidP="005F0896">
            <w:pPr>
              <w:rPr>
                <w:rFonts w:eastAsia="Times New Roman"/>
              </w:rPr>
            </w:pPr>
          </w:p>
          <w:p w14:paraId="2FAA1568" w14:textId="1C3C5692" w:rsidR="00AC0E39" w:rsidRPr="00997BAA" w:rsidRDefault="00AC0E39" w:rsidP="005F0896">
            <w:pPr>
              <w:rPr>
                <w:rFonts w:eastAsia="Times New Roman"/>
                <w:color w:val="1F4E79" w:themeColor="accent1" w:themeShade="80"/>
              </w:rPr>
            </w:pPr>
            <w:r w:rsidRPr="00997BAA">
              <w:rPr>
                <w:rFonts w:eastAsia="Times New Roman"/>
                <w:color w:val="1F4E79" w:themeColor="accent1" w:themeShade="80"/>
              </w:rPr>
              <w:t>Reply:</w:t>
            </w:r>
          </w:p>
          <w:p w14:paraId="65AE5462" w14:textId="02F0A610" w:rsidR="00AC0E39" w:rsidRPr="00997BAA" w:rsidRDefault="00AC0E39" w:rsidP="00FF0B8E">
            <w:r w:rsidRPr="00997BAA">
              <w:rPr>
                <w:color w:val="1F4E79" w:themeColor="accent1" w:themeShade="80"/>
              </w:rPr>
              <w:t xml:space="preserve">The incoterm which the supplier will follow for delivery of all equipment is </w:t>
            </w:r>
            <w:r w:rsidRPr="00997BAA">
              <w:rPr>
                <w:b/>
                <w:bCs/>
                <w:color w:val="1F4E79" w:themeColor="accent1" w:themeShade="80"/>
              </w:rPr>
              <w:t>DDP</w:t>
            </w:r>
            <w:r w:rsidRPr="00997BAA">
              <w:rPr>
                <w:color w:val="1F4E79" w:themeColor="accent1" w:themeShade="80"/>
              </w:rPr>
              <w:t>. Please fill in the table in Appendix 6 to confirm same</w:t>
            </w:r>
            <w:r w:rsidR="00617332">
              <w:rPr>
                <w:color w:val="1F4E79" w:themeColor="accent1" w:themeShade="80"/>
              </w:rPr>
              <w:t>.</w:t>
            </w:r>
          </w:p>
        </w:tc>
      </w:tr>
    </w:tbl>
    <w:p w14:paraId="7FEB8556" w14:textId="56C05273" w:rsidR="00F16BE7" w:rsidRPr="00AA6C96" w:rsidRDefault="00F16BE7">
      <w:pPr>
        <w:rPr>
          <w:color w:val="002060"/>
        </w:rPr>
      </w:pPr>
    </w:p>
    <w:sectPr w:rsidR="00F16BE7" w:rsidRPr="00AA6C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3AF2" w14:textId="77777777" w:rsidR="003E5BAB" w:rsidRDefault="003E5BAB" w:rsidP="00427870">
      <w:pPr>
        <w:spacing w:after="0" w:line="240" w:lineRule="auto"/>
      </w:pPr>
      <w:r>
        <w:separator/>
      </w:r>
    </w:p>
  </w:endnote>
  <w:endnote w:type="continuationSeparator" w:id="0">
    <w:p w14:paraId="1931BF5E" w14:textId="77777777" w:rsidR="003E5BAB" w:rsidRDefault="003E5BAB" w:rsidP="00427870">
      <w:pPr>
        <w:spacing w:after="0" w:line="240" w:lineRule="auto"/>
      </w:pPr>
      <w:r>
        <w:continuationSeparator/>
      </w:r>
    </w:p>
  </w:endnote>
  <w:endnote w:type="continuationNotice" w:id="1">
    <w:p w14:paraId="45C33F3E" w14:textId="77777777" w:rsidR="00C116AF" w:rsidRDefault="00C11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62F3" w14:textId="77777777" w:rsidR="003E5BAB" w:rsidRDefault="003E5BAB" w:rsidP="00427870">
      <w:pPr>
        <w:spacing w:after="0" w:line="240" w:lineRule="auto"/>
      </w:pPr>
      <w:r>
        <w:separator/>
      </w:r>
    </w:p>
  </w:footnote>
  <w:footnote w:type="continuationSeparator" w:id="0">
    <w:p w14:paraId="4E424712" w14:textId="77777777" w:rsidR="003E5BAB" w:rsidRDefault="003E5BAB" w:rsidP="00427870">
      <w:pPr>
        <w:spacing w:after="0" w:line="240" w:lineRule="auto"/>
      </w:pPr>
      <w:r>
        <w:continuationSeparator/>
      </w:r>
    </w:p>
  </w:footnote>
  <w:footnote w:type="continuationNotice" w:id="1">
    <w:p w14:paraId="73B0464C" w14:textId="77777777" w:rsidR="00C116AF" w:rsidRDefault="00C11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644AD069" w:rsidR="003E5BAB" w:rsidRDefault="003E5BAB" w:rsidP="00175C4E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2F0D5B">
      <w:t xml:space="preserve">                    </w:t>
    </w:r>
    <w:r w:rsidR="00175C4E">
      <w:t>DUB-</w:t>
    </w:r>
    <w:r w:rsidR="00285F41">
      <w:t xml:space="preserve">LGD-2367 </w:t>
    </w:r>
    <w:r w:rsidR="00B15F41">
      <w:t>Sat phones</w:t>
    </w:r>
    <w:r w:rsidR="00811206">
      <w:t xml:space="preserve"> FWA</w:t>
    </w:r>
    <w:r>
      <w:t xml:space="preserve"> </w:t>
    </w:r>
    <w:r w:rsidR="00175C4E">
      <w:t>Clarification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84F"/>
    <w:multiLevelType w:val="hybridMultilevel"/>
    <w:tmpl w:val="C25E4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7FB"/>
    <w:multiLevelType w:val="hybridMultilevel"/>
    <w:tmpl w:val="31E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8AD"/>
    <w:multiLevelType w:val="hybridMultilevel"/>
    <w:tmpl w:val="AC34F1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E54"/>
    <w:multiLevelType w:val="hybridMultilevel"/>
    <w:tmpl w:val="40628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7F4"/>
    <w:multiLevelType w:val="hybridMultilevel"/>
    <w:tmpl w:val="D1A07D8E"/>
    <w:lvl w:ilvl="0" w:tplc="12665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647A"/>
    <w:multiLevelType w:val="hybridMultilevel"/>
    <w:tmpl w:val="3E74601E"/>
    <w:lvl w:ilvl="0" w:tplc="01E286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A6E7C"/>
    <w:multiLevelType w:val="hybridMultilevel"/>
    <w:tmpl w:val="9404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5E2E"/>
    <w:multiLevelType w:val="hybridMultilevel"/>
    <w:tmpl w:val="CDF26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C2E79"/>
    <w:multiLevelType w:val="hybridMultilevel"/>
    <w:tmpl w:val="87402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80D0C"/>
    <w:multiLevelType w:val="hybridMultilevel"/>
    <w:tmpl w:val="A9F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56908"/>
    <w:multiLevelType w:val="hybridMultilevel"/>
    <w:tmpl w:val="5FC8F3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8280F"/>
    <w:multiLevelType w:val="hybridMultilevel"/>
    <w:tmpl w:val="0C1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023B4"/>
    <w:multiLevelType w:val="hybridMultilevel"/>
    <w:tmpl w:val="D45ECB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62D15"/>
    <w:rsid w:val="00071AF0"/>
    <w:rsid w:val="00080C53"/>
    <w:rsid w:val="00083224"/>
    <w:rsid w:val="000A18F3"/>
    <w:rsid w:val="000B2960"/>
    <w:rsid w:val="000B2C99"/>
    <w:rsid w:val="000C0954"/>
    <w:rsid w:val="000C0BC9"/>
    <w:rsid w:val="000E2A22"/>
    <w:rsid w:val="000E5024"/>
    <w:rsid w:val="000F0937"/>
    <w:rsid w:val="000F20B5"/>
    <w:rsid w:val="000F304D"/>
    <w:rsid w:val="00113039"/>
    <w:rsid w:val="00121107"/>
    <w:rsid w:val="00130E39"/>
    <w:rsid w:val="00132934"/>
    <w:rsid w:val="00137FF2"/>
    <w:rsid w:val="00146EAA"/>
    <w:rsid w:val="00157D46"/>
    <w:rsid w:val="00164ACA"/>
    <w:rsid w:val="00164E33"/>
    <w:rsid w:val="00175C4E"/>
    <w:rsid w:val="001773FB"/>
    <w:rsid w:val="00195CA5"/>
    <w:rsid w:val="001969FC"/>
    <w:rsid w:val="001E5A2C"/>
    <w:rsid w:val="001E5F95"/>
    <w:rsid w:val="0020230C"/>
    <w:rsid w:val="00206091"/>
    <w:rsid w:val="002321D0"/>
    <w:rsid w:val="0023404D"/>
    <w:rsid w:val="002363BE"/>
    <w:rsid w:val="0024496E"/>
    <w:rsid w:val="002570ED"/>
    <w:rsid w:val="00263B64"/>
    <w:rsid w:val="0028259C"/>
    <w:rsid w:val="00285F41"/>
    <w:rsid w:val="00293876"/>
    <w:rsid w:val="00294522"/>
    <w:rsid w:val="002B2307"/>
    <w:rsid w:val="002B4963"/>
    <w:rsid w:val="002C24D7"/>
    <w:rsid w:val="002C7AB9"/>
    <w:rsid w:val="002D205A"/>
    <w:rsid w:val="002D3FF7"/>
    <w:rsid w:val="002D6E2B"/>
    <w:rsid w:val="002E0005"/>
    <w:rsid w:val="002F0D5B"/>
    <w:rsid w:val="002F649E"/>
    <w:rsid w:val="0030218C"/>
    <w:rsid w:val="00304F00"/>
    <w:rsid w:val="00306A7F"/>
    <w:rsid w:val="00312E8A"/>
    <w:rsid w:val="0031319C"/>
    <w:rsid w:val="00317160"/>
    <w:rsid w:val="00320AB5"/>
    <w:rsid w:val="00361C3B"/>
    <w:rsid w:val="00376597"/>
    <w:rsid w:val="003A2D7F"/>
    <w:rsid w:val="003A4519"/>
    <w:rsid w:val="003A642C"/>
    <w:rsid w:val="003B33BA"/>
    <w:rsid w:val="003D04D1"/>
    <w:rsid w:val="003D210C"/>
    <w:rsid w:val="003E5BAB"/>
    <w:rsid w:val="003F324F"/>
    <w:rsid w:val="00410975"/>
    <w:rsid w:val="00427870"/>
    <w:rsid w:val="00450B4F"/>
    <w:rsid w:val="00455667"/>
    <w:rsid w:val="0045782A"/>
    <w:rsid w:val="0046255C"/>
    <w:rsid w:val="004746C0"/>
    <w:rsid w:val="00486462"/>
    <w:rsid w:val="00497F9F"/>
    <w:rsid w:val="004B4521"/>
    <w:rsid w:val="004D1B22"/>
    <w:rsid w:val="004F0FEE"/>
    <w:rsid w:val="00505906"/>
    <w:rsid w:val="00506A38"/>
    <w:rsid w:val="00512F0F"/>
    <w:rsid w:val="00514A36"/>
    <w:rsid w:val="00514D29"/>
    <w:rsid w:val="00517B58"/>
    <w:rsid w:val="00534F12"/>
    <w:rsid w:val="00544CEA"/>
    <w:rsid w:val="00574AB1"/>
    <w:rsid w:val="005778A1"/>
    <w:rsid w:val="00584FCF"/>
    <w:rsid w:val="00585901"/>
    <w:rsid w:val="00586AD5"/>
    <w:rsid w:val="00594B73"/>
    <w:rsid w:val="005C0D2A"/>
    <w:rsid w:val="005C158F"/>
    <w:rsid w:val="005C3F7E"/>
    <w:rsid w:val="005D0250"/>
    <w:rsid w:val="005D0D06"/>
    <w:rsid w:val="005E013F"/>
    <w:rsid w:val="005F0896"/>
    <w:rsid w:val="006064F4"/>
    <w:rsid w:val="00613C4C"/>
    <w:rsid w:val="00617332"/>
    <w:rsid w:val="0061798C"/>
    <w:rsid w:val="00621BB4"/>
    <w:rsid w:val="0064119D"/>
    <w:rsid w:val="00650F45"/>
    <w:rsid w:val="006713F7"/>
    <w:rsid w:val="006750F1"/>
    <w:rsid w:val="00676CB4"/>
    <w:rsid w:val="006A200B"/>
    <w:rsid w:val="006D1C48"/>
    <w:rsid w:val="006D48C7"/>
    <w:rsid w:val="006E673B"/>
    <w:rsid w:val="0070267A"/>
    <w:rsid w:val="007172A6"/>
    <w:rsid w:val="007341D7"/>
    <w:rsid w:val="00734CEC"/>
    <w:rsid w:val="007432FD"/>
    <w:rsid w:val="0077366E"/>
    <w:rsid w:val="007822DC"/>
    <w:rsid w:val="007A53F7"/>
    <w:rsid w:val="007B41DF"/>
    <w:rsid w:val="007D071F"/>
    <w:rsid w:val="007D2020"/>
    <w:rsid w:val="007F0F47"/>
    <w:rsid w:val="00801587"/>
    <w:rsid w:val="008061A7"/>
    <w:rsid w:val="00811206"/>
    <w:rsid w:val="00814103"/>
    <w:rsid w:val="00816F27"/>
    <w:rsid w:val="00820F65"/>
    <w:rsid w:val="00831979"/>
    <w:rsid w:val="0083559D"/>
    <w:rsid w:val="0086637C"/>
    <w:rsid w:val="0087281D"/>
    <w:rsid w:val="00874672"/>
    <w:rsid w:val="00875C3F"/>
    <w:rsid w:val="008812F8"/>
    <w:rsid w:val="008826CA"/>
    <w:rsid w:val="00886EBB"/>
    <w:rsid w:val="00890178"/>
    <w:rsid w:val="00895C3B"/>
    <w:rsid w:val="00896E85"/>
    <w:rsid w:val="008A4409"/>
    <w:rsid w:val="008A7642"/>
    <w:rsid w:val="008E49E3"/>
    <w:rsid w:val="008E4E74"/>
    <w:rsid w:val="008E6E73"/>
    <w:rsid w:val="0090383E"/>
    <w:rsid w:val="00915D6D"/>
    <w:rsid w:val="009177AD"/>
    <w:rsid w:val="00932B14"/>
    <w:rsid w:val="009365A1"/>
    <w:rsid w:val="00956C50"/>
    <w:rsid w:val="00970912"/>
    <w:rsid w:val="00973193"/>
    <w:rsid w:val="00982314"/>
    <w:rsid w:val="00997BAA"/>
    <w:rsid w:val="009A3FBB"/>
    <w:rsid w:val="009A4051"/>
    <w:rsid w:val="009A6A87"/>
    <w:rsid w:val="009A71D9"/>
    <w:rsid w:val="009E6589"/>
    <w:rsid w:val="009F63E2"/>
    <w:rsid w:val="009F7788"/>
    <w:rsid w:val="00A238D3"/>
    <w:rsid w:val="00A343CE"/>
    <w:rsid w:val="00A565EB"/>
    <w:rsid w:val="00A83DE9"/>
    <w:rsid w:val="00A87C3B"/>
    <w:rsid w:val="00A9007A"/>
    <w:rsid w:val="00AA3720"/>
    <w:rsid w:val="00AA6C96"/>
    <w:rsid w:val="00AC0E39"/>
    <w:rsid w:val="00AC1899"/>
    <w:rsid w:val="00AC7989"/>
    <w:rsid w:val="00AF5996"/>
    <w:rsid w:val="00B15F41"/>
    <w:rsid w:val="00B24F66"/>
    <w:rsid w:val="00B47135"/>
    <w:rsid w:val="00B50179"/>
    <w:rsid w:val="00B61251"/>
    <w:rsid w:val="00B8702D"/>
    <w:rsid w:val="00BA5A85"/>
    <w:rsid w:val="00BB3447"/>
    <w:rsid w:val="00BC2A72"/>
    <w:rsid w:val="00BC358C"/>
    <w:rsid w:val="00C116AF"/>
    <w:rsid w:val="00C251D8"/>
    <w:rsid w:val="00C278E4"/>
    <w:rsid w:val="00C32CE5"/>
    <w:rsid w:val="00C35DC4"/>
    <w:rsid w:val="00C451AC"/>
    <w:rsid w:val="00C55233"/>
    <w:rsid w:val="00C55E69"/>
    <w:rsid w:val="00C621D4"/>
    <w:rsid w:val="00C65013"/>
    <w:rsid w:val="00C92171"/>
    <w:rsid w:val="00C93D80"/>
    <w:rsid w:val="00C94AED"/>
    <w:rsid w:val="00C954E9"/>
    <w:rsid w:val="00CD56D3"/>
    <w:rsid w:val="00CE090E"/>
    <w:rsid w:val="00CF5F56"/>
    <w:rsid w:val="00D0162D"/>
    <w:rsid w:val="00D31A85"/>
    <w:rsid w:val="00D3747D"/>
    <w:rsid w:val="00D40F84"/>
    <w:rsid w:val="00D45D65"/>
    <w:rsid w:val="00D52B3B"/>
    <w:rsid w:val="00D7035C"/>
    <w:rsid w:val="00D7056C"/>
    <w:rsid w:val="00D744CB"/>
    <w:rsid w:val="00D9159C"/>
    <w:rsid w:val="00DC6B9E"/>
    <w:rsid w:val="00DD11B7"/>
    <w:rsid w:val="00DF4720"/>
    <w:rsid w:val="00E1033E"/>
    <w:rsid w:val="00E42F1B"/>
    <w:rsid w:val="00E45BEC"/>
    <w:rsid w:val="00E63C73"/>
    <w:rsid w:val="00E6691E"/>
    <w:rsid w:val="00E81A59"/>
    <w:rsid w:val="00E849F3"/>
    <w:rsid w:val="00E9229B"/>
    <w:rsid w:val="00E94A2F"/>
    <w:rsid w:val="00EB6C2E"/>
    <w:rsid w:val="00EB7D2B"/>
    <w:rsid w:val="00EC3C54"/>
    <w:rsid w:val="00EC65F5"/>
    <w:rsid w:val="00ED1BDC"/>
    <w:rsid w:val="00EF0198"/>
    <w:rsid w:val="00EF489E"/>
    <w:rsid w:val="00F11FF8"/>
    <w:rsid w:val="00F16BE7"/>
    <w:rsid w:val="00F23DC3"/>
    <w:rsid w:val="00F26F35"/>
    <w:rsid w:val="00F27B6C"/>
    <w:rsid w:val="00F3566F"/>
    <w:rsid w:val="00F4579F"/>
    <w:rsid w:val="00F63EDD"/>
    <w:rsid w:val="00F833D6"/>
    <w:rsid w:val="00FC317F"/>
    <w:rsid w:val="00FC4F02"/>
    <w:rsid w:val="00FE1A38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ody2">
    <w:name w:val="AC Body 2"/>
    <w:basedOn w:val="Normal"/>
    <w:rsid w:val="00175C4E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0896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11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C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F63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OCR xmlns="5cbdab3b-54b6-4563-8405-ea6ff6b08fac" xsi:nil="true"/>
    <MediaServiceAutoTags xmlns="5cbdab3b-54b6-4563-8405-ea6ff6b08f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41CAFBE15A4D965029491896D049" ma:contentTypeVersion="13" ma:contentTypeDescription="Create a new document." ma:contentTypeScope="" ma:versionID="1fef479511540fac1aa51543c3022c03">
  <xsd:schema xmlns:xsd="http://www.w3.org/2001/XMLSchema" xmlns:xs="http://www.w3.org/2001/XMLSchema" xmlns:p="http://schemas.microsoft.com/office/2006/metadata/properties" xmlns:ns2="5cbdab3b-54b6-4563-8405-ea6ff6b08fac" xmlns:ns3="fe982361-0c24-47c9-9eb4-92041be8c047" targetNamespace="http://schemas.microsoft.com/office/2006/metadata/properties" ma:root="true" ma:fieldsID="add053aa287a0f9e02c8c6f8b7ab9cab" ns2:_="" ns3:_="">
    <xsd:import namespace="5cbdab3b-54b6-4563-8405-ea6ff6b08fac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ab3b-54b6-4563-8405-ea6ff6b0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cbdab3b-54b6-4563-8405-ea6ff6b08fac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e982361-0c24-47c9-9eb4-92041be8c04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180A3-5CF7-444E-B4A3-73BB56B8C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ab3b-54b6-4563-8405-ea6ff6b08fac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Severn</dc:creator>
  <cp:lastModifiedBy>Dominic Ford</cp:lastModifiedBy>
  <cp:revision>2</cp:revision>
  <dcterms:created xsi:type="dcterms:W3CDTF">2021-10-14T09:40:00Z</dcterms:created>
  <dcterms:modified xsi:type="dcterms:W3CDTF">2021-10-14T09:40:00Z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1st clarification pub 090218.docx</vt:lpwstr>
  </property>
</Properties>
</file>