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C39F4" w14:textId="77777777" w:rsidR="00584F6A" w:rsidRDefault="00BF4187" w:rsidP="00D878CB">
      <w:pPr>
        <w:jc w:val="center"/>
      </w:pPr>
      <w:r w:rsidRPr="00A744F9">
        <w:rPr>
          <w:noProof/>
          <w:lang w:val="en-US"/>
        </w:rPr>
        <w:drawing>
          <wp:inline distT="0" distB="0" distL="0" distR="0" wp14:anchorId="30F0A988" wp14:editId="1BA488B8">
            <wp:extent cx="1520740" cy="440032"/>
            <wp:effectExtent l="0" t="0" r="3810" b="0"/>
            <wp:docPr id="1" name="Picture 1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07" cy="5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0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961"/>
      </w:tblGrid>
      <w:tr w:rsidR="00344EDF" w14:paraId="72E935D5" w14:textId="77777777" w:rsidTr="002D34E4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7884C6F" w14:textId="2693B14C" w:rsidR="00344EDF" w:rsidRPr="002D34E4" w:rsidRDefault="00DA2E62" w:rsidP="00D87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EXPRESSION OF INTEREST</w:t>
            </w:r>
            <w:r w:rsidR="002A549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 (EOI)</w:t>
            </w:r>
            <w:r w:rsidR="002D34E4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 xml:space="preserve"> NOTICE</w:t>
            </w:r>
          </w:p>
        </w:tc>
      </w:tr>
      <w:tr w:rsidR="00344EDF" w:rsidRPr="008928B6" w14:paraId="2C4B5489" w14:textId="77777777" w:rsidTr="002D34E4">
        <w:trPr>
          <w:trHeight w:val="261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21B7" w14:textId="77777777" w:rsidR="00344EDF" w:rsidRPr="008928B6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 w:rsidRPr="008928B6"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  <w:t xml:space="preserve">Reference Number 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54B5" w14:textId="2FE73117" w:rsidR="00344EDF" w:rsidRPr="008928B6" w:rsidRDefault="00CF7965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  <w:t>GB-W-637</w:t>
            </w:r>
          </w:p>
        </w:tc>
      </w:tr>
      <w:tr w:rsidR="00344EDF" w:rsidRPr="008928B6" w14:paraId="42B1C074" w14:textId="77777777" w:rsidTr="002D34E4">
        <w:trPr>
          <w:trHeight w:val="261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8C2" w14:textId="77777777" w:rsidR="00344EDF" w:rsidRPr="008928B6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 w:rsidRPr="008928B6"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  <w:t xml:space="preserve">Subject  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C4E" w14:textId="08E7E03E" w:rsidR="005E439C" w:rsidRPr="005E439C" w:rsidRDefault="00CF7965" w:rsidP="005E439C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rPr>
                <w:rFonts w:asciiTheme="minorHAnsi" w:hAnsiTheme="minorHAnsi" w:cstheme="minorHAnsi"/>
                <w:b/>
                <w:iCs/>
                <w:sz w:val="20"/>
              </w:rPr>
            </w:pPr>
            <w:bookmarkStart w:id="0" w:name="_Hlk57208528"/>
            <w:r w:rsidRPr="00CF7965">
              <w:rPr>
                <w:rFonts w:asciiTheme="minorHAnsi" w:hAnsiTheme="minorHAnsi" w:cstheme="minorHAnsi"/>
                <w:b/>
                <w:iCs/>
                <w:sz w:val="20"/>
              </w:rPr>
              <w:t>Call for Expression of Interest (</w:t>
            </w:r>
            <w:proofErr w:type="spellStart"/>
            <w:r w:rsidRPr="00CF7965">
              <w:rPr>
                <w:rFonts w:asciiTheme="minorHAnsi" w:hAnsiTheme="minorHAnsi" w:cstheme="minorHAnsi"/>
                <w:b/>
                <w:iCs/>
                <w:sz w:val="20"/>
              </w:rPr>
              <w:t>EoI</w:t>
            </w:r>
            <w:proofErr w:type="spellEnd"/>
            <w:r w:rsidRPr="00CF7965">
              <w:rPr>
                <w:rFonts w:asciiTheme="minorHAnsi" w:hAnsiTheme="minorHAnsi" w:cstheme="minorHAnsi"/>
                <w:b/>
                <w:iCs/>
                <w:sz w:val="20"/>
              </w:rPr>
              <w:t>) for the prequalification of borehole drilling contractors for three years</w:t>
            </w:r>
            <w:bookmarkEnd w:id="0"/>
            <w:r w:rsidR="005E439C">
              <w:rPr>
                <w:rFonts w:asciiTheme="minorHAnsi" w:hAnsiTheme="minorHAnsi" w:cstheme="minorHAnsi"/>
                <w:b/>
                <w:iCs/>
                <w:sz w:val="20"/>
              </w:rPr>
              <w:t xml:space="preserve"> </w:t>
            </w:r>
            <w:r w:rsidR="005E439C" w:rsidRPr="005E439C">
              <w:rPr>
                <w:rFonts w:asciiTheme="minorHAnsi" w:hAnsiTheme="minorHAnsi" w:cstheme="minorHAnsi"/>
                <w:b/>
                <w:iCs/>
                <w:sz w:val="20"/>
              </w:rPr>
              <w:t xml:space="preserve">in </w:t>
            </w:r>
            <w:proofErr w:type="spellStart"/>
            <w:r w:rsidR="005E439C">
              <w:rPr>
                <w:rFonts w:asciiTheme="minorHAnsi" w:hAnsiTheme="minorHAnsi" w:cstheme="minorHAnsi"/>
                <w:b/>
                <w:iCs/>
                <w:sz w:val="20"/>
              </w:rPr>
              <w:t>Butaleeja</w:t>
            </w:r>
            <w:proofErr w:type="spellEnd"/>
            <w:r w:rsidR="005E439C">
              <w:rPr>
                <w:rFonts w:asciiTheme="minorHAnsi" w:hAnsiTheme="minorHAnsi" w:cstheme="minorHAnsi"/>
                <w:b/>
                <w:iCs/>
                <w:sz w:val="20"/>
              </w:rPr>
              <w:t xml:space="preserve"> district </w:t>
            </w:r>
            <w:r w:rsidR="005E439C" w:rsidRPr="005E439C">
              <w:rPr>
                <w:rFonts w:asciiTheme="minorHAnsi" w:hAnsiTheme="minorHAnsi" w:cstheme="minorHAnsi"/>
                <w:b/>
                <w:iCs/>
                <w:sz w:val="20"/>
              </w:rPr>
              <w:t xml:space="preserve">Eastern Uganda and </w:t>
            </w:r>
            <w:proofErr w:type="spellStart"/>
            <w:r w:rsidR="005E439C" w:rsidRPr="005E439C">
              <w:rPr>
                <w:rFonts w:asciiTheme="minorHAnsi" w:hAnsiTheme="minorHAnsi" w:cstheme="minorHAnsi"/>
                <w:b/>
                <w:iCs/>
                <w:sz w:val="20"/>
              </w:rPr>
              <w:t>Kaabong</w:t>
            </w:r>
            <w:proofErr w:type="spellEnd"/>
            <w:r w:rsidR="005E439C">
              <w:rPr>
                <w:rFonts w:asciiTheme="minorHAnsi" w:hAnsiTheme="minorHAnsi" w:cstheme="minorHAnsi"/>
                <w:b/>
                <w:iCs/>
                <w:sz w:val="20"/>
              </w:rPr>
              <w:t xml:space="preserve"> district</w:t>
            </w:r>
            <w:r w:rsidR="005E439C" w:rsidRPr="005E439C">
              <w:rPr>
                <w:rFonts w:asciiTheme="minorHAnsi" w:hAnsiTheme="minorHAnsi" w:cstheme="minorHAnsi"/>
                <w:b/>
                <w:iCs/>
                <w:sz w:val="20"/>
              </w:rPr>
              <w:t xml:space="preserve"> (Karamoja region) </w:t>
            </w:r>
          </w:p>
          <w:p w14:paraId="7680B522" w14:textId="631EE1D5" w:rsidR="00344EDF" w:rsidRPr="008928B6" w:rsidRDefault="005E439C" w:rsidP="005E439C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 w:rsidRPr="005E439C">
              <w:rPr>
                <w:rFonts w:asciiTheme="minorHAnsi" w:hAnsiTheme="minorHAnsi" w:cstheme="minorHAnsi"/>
                <w:b/>
                <w:iCs/>
                <w:sz w:val="20"/>
              </w:rPr>
              <w:t>PR Ref: GB-W-637.</w:t>
            </w:r>
          </w:p>
        </w:tc>
      </w:tr>
      <w:tr w:rsidR="00344EDF" w:rsidRPr="008928B6" w14:paraId="3CCA7773" w14:textId="77777777" w:rsidTr="002D34E4">
        <w:trPr>
          <w:trHeight w:val="261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F995" w14:textId="77777777" w:rsidR="00344EDF" w:rsidRPr="008928B6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 w:rsidRPr="008928B6"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  <w:t>Office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A1FE" w14:textId="77777777" w:rsidR="00344EDF" w:rsidRPr="008928B6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</w:pPr>
            <w:r w:rsidRPr="008928B6">
              <w:rPr>
                <w:rFonts w:asciiTheme="minorHAnsi" w:hAnsiTheme="minorHAnsi" w:cstheme="minorHAnsi"/>
                <w:b/>
                <w:color w:val="000000"/>
                <w:sz w:val="20"/>
                <w:lang w:val="en-GB" w:eastAsia="en-GB"/>
              </w:rPr>
              <w:t>GOAL Uganda</w:t>
            </w:r>
          </w:p>
        </w:tc>
      </w:tr>
      <w:tr w:rsidR="00344EDF" w:rsidRPr="00776871" w14:paraId="4E93335E" w14:textId="77777777" w:rsidTr="008976A2">
        <w:trPr>
          <w:trHeight w:val="278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3904" w14:textId="77777777" w:rsidR="00344EDF" w:rsidRPr="00776871" w:rsidRDefault="00344EDF" w:rsidP="00D878CB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eastAsiaTheme="minorHAnsi" w:hAnsiTheme="minorHAnsi" w:cstheme="minorHAnsi"/>
                <w:sz w:val="20"/>
                <w:lang w:val="en-GB"/>
              </w:rPr>
            </w:pPr>
            <w:r w:rsidRPr="00776871">
              <w:rPr>
                <w:rFonts w:asciiTheme="minorHAnsi" w:eastAsiaTheme="minorHAnsi" w:hAnsiTheme="minorHAnsi" w:cstheme="minorHAnsi"/>
                <w:sz w:val="20"/>
                <w:lang w:val="en-GB"/>
              </w:rPr>
              <w:t>Deadline for submission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17CE" w14:textId="18ADD713" w:rsidR="00344EDF" w:rsidRPr="00776871" w:rsidRDefault="0078691C" w:rsidP="008976A2">
            <w:pPr>
              <w:pStyle w:val="ACBody2"/>
              <w:tabs>
                <w:tab w:val="left" w:pos="7722"/>
              </w:tabs>
              <w:spacing w:after="0" w:line="256" w:lineRule="auto"/>
              <w:ind w:left="0"/>
              <w:jc w:val="left"/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>1</w:t>
            </w:r>
            <w:r w:rsidR="0072381A"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>6</w:t>
            </w:r>
            <w:r w:rsidR="00CF7965" w:rsidRPr="00CF7965"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 xml:space="preserve">th 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>January</w:t>
            </w:r>
            <w:r w:rsidR="00CF7965" w:rsidRPr="00CF7965"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 xml:space="preserve"> 202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>1</w:t>
            </w:r>
            <w:r w:rsidR="00CF7965" w:rsidRPr="00CF7965">
              <w:rPr>
                <w:rFonts w:asciiTheme="minorHAnsi" w:eastAsiaTheme="minorHAnsi" w:hAnsiTheme="minorHAnsi" w:cstheme="minorHAnsi"/>
                <w:b/>
                <w:bCs/>
                <w:sz w:val="20"/>
                <w:lang w:val="en-GB"/>
              </w:rPr>
              <w:t xml:space="preserve"> at 17:00 hrs EAT</w:t>
            </w:r>
          </w:p>
        </w:tc>
      </w:tr>
    </w:tbl>
    <w:p w14:paraId="00268ED2" w14:textId="77777777" w:rsidR="00D878CB" w:rsidRPr="00776871" w:rsidRDefault="00D878CB" w:rsidP="002D34E4">
      <w:pPr>
        <w:spacing w:after="0"/>
        <w:rPr>
          <w:rFonts w:cstheme="minorHAnsi"/>
          <w:sz w:val="20"/>
          <w:szCs w:val="20"/>
        </w:rPr>
      </w:pPr>
    </w:p>
    <w:p w14:paraId="6241B074" w14:textId="77777777" w:rsidR="00BF4187" w:rsidRPr="00365578" w:rsidRDefault="00BF4187" w:rsidP="003F6FE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65578">
        <w:rPr>
          <w:rFonts w:cstheme="minorHAnsi"/>
          <w:sz w:val="20"/>
          <w:szCs w:val="20"/>
          <w:u w:val="single"/>
        </w:rPr>
        <w:t xml:space="preserve">Invitation </w:t>
      </w:r>
    </w:p>
    <w:p w14:paraId="52AC1B03" w14:textId="6F2B3DF1" w:rsidR="00CF7965" w:rsidRPr="00CF7965" w:rsidRDefault="00BF4187" w:rsidP="00DC528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928B6">
        <w:rPr>
          <w:rFonts w:cstheme="minorHAnsi"/>
          <w:sz w:val="20"/>
          <w:szCs w:val="20"/>
        </w:rPr>
        <w:t xml:space="preserve">GOAL </w:t>
      </w:r>
      <w:r w:rsidRPr="00776871">
        <w:rPr>
          <w:rFonts w:cstheme="minorHAnsi"/>
          <w:sz w:val="20"/>
          <w:szCs w:val="20"/>
        </w:rPr>
        <w:t xml:space="preserve">invites </w:t>
      </w:r>
      <w:r w:rsidR="00A72ECC" w:rsidRPr="00776871">
        <w:rPr>
          <w:rFonts w:cstheme="minorHAnsi"/>
          <w:sz w:val="20"/>
          <w:szCs w:val="20"/>
        </w:rPr>
        <w:t>suitably qualified</w:t>
      </w:r>
      <w:r w:rsidR="00C677C9" w:rsidRPr="00776871">
        <w:rPr>
          <w:rFonts w:cstheme="minorHAnsi"/>
          <w:sz w:val="20"/>
          <w:szCs w:val="20"/>
        </w:rPr>
        <w:t xml:space="preserve"> </w:t>
      </w:r>
      <w:r w:rsidR="00CF7965">
        <w:rPr>
          <w:rFonts w:cstheme="minorHAnsi"/>
          <w:sz w:val="20"/>
          <w:szCs w:val="20"/>
        </w:rPr>
        <w:t>Contractors</w:t>
      </w:r>
      <w:r w:rsidR="00C677C9" w:rsidRPr="00C677C9">
        <w:rPr>
          <w:rFonts w:cstheme="minorHAnsi"/>
          <w:sz w:val="20"/>
          <w:szCs w:val="20"/>
        </w:rPr>
        <w:t xml:space="preserve"> to reply to</w:t>
      </w:r>
      <w:r w:rsidR="00CF7965">
        <w:rPr>
          <w:rFonts w:cstheme="minorHAnsi"/>
          <w:sz w:val="20"/>
          <w:szCs w:val="20"/>
        </w:rPr>
        <w:t xml:space="preserve"> the</w:t>
      </w:r>
      <w:r w:rsidR="00C677C9" w:rsidRPr="00C677C9">
        <w:rPr>
          <w:rFonts w:cstheme="minorHAnsi"/>
          <w:sz w:val="20"/>
          <w:szCs w:val="20"/>
        </w:rPr>
        <w:t xml:space="preserve"> </w:t>
      </w:r>
      <w:r w:rsidR="00CF7965" w:rsidRPr="00CF7965">
        <w:rPr>
          <w:rFonts w:cstheme="minorHAnsi"/>
          <w:sz w:val="20"/>
          <w:szCs w:val="20"/>
        </w:rPr>
        <w:t>Call for Expression of Interest (</w:t>
      </w:r>
      <w:proofErr w:type="spellStart"/>
      <w:r w:rsidR="00CF7965" w:rsidRPr="00CF7965">
        <w:rPr>
          <w:rFonts w:cstheme="minorHAnsi"/>
          <w:sz w:val="20"/>
          <w:szCs w:val="20"/>
        </w:rPr>
        <w:t>EoI</w:t>
      </w:r>
      <w:proofErr w:type="spellEnd"/>
      <w:r w:rsidR="00CF7965" w:rsidRPr="00CF7965">
        <w:rPr>
          <w:rFonts w:cstheme="minorHAnsi"/>
          <w:sz w:val="20"/>
          <w:szCs w:val="20"/>
        </w:rPr>
        <w:t xml:space="preserve">) for the prequalification of borehole drilling contractors for three years. </w:t>
      </w:r>
      <w:r w:rsidR="00CF7965">
        <w:rPr>
          <w:rFonts w:cstheme="minorHAnsi"/>
          <w:sz w:val="20"/>
          <w:szCs w:val="20"/>
        </w:rPr>
        <w:t>GOAL estimates to construct t</w:t>
      </w:r>
      <w:r w:rsidR="00CF7965" w:rsidRPr="00CF7965">
        <w:rPr>
          <w:rFonts w:cstheme="minorHAnsi"/>
          <w:sz w:val="20"/>
          <w:szCs w:val="20"/>
        </w:rPr>
        <w:t xml:space="preserve">hree hundred sixty (360) boreholes (120 boreholes per year) in districts in Eastern Uganda and </w:t>
      </w:r>
      <w:proofErr w:type="spellStart"/>
      <w:r w:rsidR="00CF7965" w:rsidRPr="00CF7965">
        <w:rPr>
          <w:rFonts w:cstheme="minorHAnsi"/>
          <w:sz w:val="20"/>
          <w:szCs w:val="20"/>
        </w:rPr>
        <w:t>Kaabong</w:t>
      </w:r>
      <w:proofErr w:type="spellEnd"/>
      <w:r w:rsidR="00CF7965" w:rsidRPr="00CF7965">
        <w:rPr>
          <w:rFonts w:cstheme="minorHAnsi"/>
          <w:sz w:val="20"/>
          <w:szCs w:val="20"/>
        </w:rPr>
        <w:t xml:space="preserve"> (Karamoja region) </w:t>
      </w:r>
    </w:p>
    <w:p w14:paraId="0D1B4BC1" w14:textId="2F95334F" w:rsidR="00BA0535" w:rsidRDefault="00CF7965" w:rsidP="00DC528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F7965">
        <w:rPr>
          <w:rFonts w:cstheme="minorHAnsi"/>
          <w:sz w:val="20"/>
          <w:szCs w:val="20"/>
        </w:rPr>
        <w:t>PR Ref: GB-W-637</w:t>
      </w:r>
      <w:r w:rsidR="00BA0535" w:rsidRPr="00C677C9">
        <w:rPr>
          <w:rFonts w:cstheme="minorHAnsi"/>
          <w:sz w:val="20"/>
          <w:szCs w:val="20"/>
        </w:rPr>
        <w:t>.</w:t>
      </w:r>
    </w:p>
    <w:p w14:paraId="1F9712BD" w14:textId="77777777" w:rsidR="007244BC" w:rsidRPr="00776871" w:rsidRDefault="007244BC" w:rsidP="00BA0535">
      <w:pPr>
        <w:spacing w:after="0" w:line="240" w:lineRule="auto"/>
        <w:rPr>
          <w:rFonts w:cstheme="minorHAnsi"/>
          <w:sz w:val="20"/>
          <w:szCs w:val="20"/>
        </w:rPr>
      </w:pPr>
    </w:p>
    <w:p w14:paraId="6B35E568" w14:textId="4EC3FE88" w:rsidR="003A0912" w:rsidRPr="007244BC" w:rsidRDefault="005E439C" w:rsidP="00BA0535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Expression of Interest </w:t>
      </w:r>
      <w:r w:rsidR="002D34E4" w:rsidRPr="007244BC">
        <w:rPr>
          <w:rFonts w:cstheme="minorHAnsi"/>
          <w:sz w:val="20"/>
          <w:szCs w:val="20"/>
          <w:u w:val="single"/>
        </w:rPr>
        <w:t>Documents</w:t>
      </w:r>
    </w:p>
    <w:p w14:paraId="0DAEACC3" w14:textId="0EE29AE7" w:rsidR="00ED451D" w:rsidRPr="008928B6" w:rsidRDefault="00CE000F" w:rsidP="003F6FEC">
      <w:pPr>
        <w:spacing w:after="0" w:line="240" w:lineRule="auto"/>
        <w:rPr>
          <w:rFonts w:cstheme="minorHAnsi"/>
          <w:sz w:val="20"/>
          <w:szCs w:val="20"/>
        </w:rPr>
      </w:pPr>
      <w:r w:rsidRPr="008928B6">
        <w:rPr>
          <w:rFonts w:cstheme="minorHAnsi"/>
          <w:sz w:val="20"/>
          <w:szCs w:val="20"/>
        </w:rPr>
        <w:t xml:space="preserve">All </w:t>
      </w:r>
      <w:proofErr w:type="spellStart"/>
      <w:r w:rsidR="005E439C">
        <w:rPr>
          <w:rFonts w:cstheme="minorHAnsi"/>
          <w:sz w:val="20"/>
          <w:szCs w:val="20"/>
        </w:rPr>
        <w:t>EoI</w:t>
      </w:r>
      <w:proofErr w:type="spellEnd"/>
      <w:r w:rsidR="00ED451D" w:rsidRPr="008928B6">
        <w:rPr>
          <w:rFonts w:cstheme="minorHAnsi"/>
          <w:sz w:val="20"/>
          <w:szCs w:val="20"/>
        </w:rPr>
        <w:t xml:space="preserve"> documents are available for free download at:</w:t>
      </w:r>
      <w:r w:rsidRPr="008928B6">
        <w:rPr>
          <w:rFonts w:cstheme="minorHAnsi"/>
          <w:sz w:val="20"/>
          <w:szCs w:val="20"/>
        </w:rPr>
        <w:t xml:space="preserve">  </w:t>
      </w:r>
      <w:hyperlink r:id="rId9" w:history="1">
        <w:r w:rsidR="00ED451D" w:rsidRPr="00365578">
          <w:rPr>
            <w:rFonts w:cstheme="minorHAnsi"/>
            <w:sz w:val="20"/>
            <w:szCs w:val="20"/>
          </w:rPr>
          <w:t>https://www.goalglobal.org/tenders</w:t>
        </w:r>
      </w:hyperlink>
      <w:r w:rsidR="00ED451D" w:rsidRPr="008928B6">
        <w:rPr>
          <w:rFonts w:cstheme="minorHAnsi"/>
          <w:sz w:val="20"/>
          <w:szCs w:val="20"/>
        </w:rPr>
        <w:t xml:space="preserve"> </w:t>
      </w:r>
    </w:p>
    <w:p w14:paraId="01267090" w14:textId="77777777" w:rsidR="00ED451D" w:rsidRPr="008928B6" w:rsidRDefault="00ED451D" w:rsidP="003F6FEC">
      <w:pPr>
        <w:spacing w:after="0" w:line="240" w:lineRule="auto"/>
        <w:rPr>
          <w:rFonts w:cstheme="minorHAnsi"/>
          <w:sz w:val="20"/>
          <w:szCs w:val="20"/>
        </w:rPr>
      </w:pPr>
    </w:p>
    <w:p w14:paraId="3AB8EEDF" w14:textId="77777777" w:rsidR="00CE000F" w:rsidRPr="00365578" w:rsidRDefault="00CE000F" w:rsidP="003F6FE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65578">
        <w:rPr>
          <w:rFonts w:cstheme="minorHAnsi"/>
          <w:sz w:val="20"/>
          <w:szCs w:val="20"/>
          <w:u w:val="single"/>
        </w:rPr>
        <w:t>Submission of Offers</w:t>
      </w:r>
    </w:p>
    <w:p w14:paraId="63B0C172" w14:textId="72BCE9E3" w:rsidR="0061790C" w:rsidRPr="008928B6" w:rsidRDefault="00CE000F" w:rsidP="00DC528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928B6">
        <w:rPr>
          <w:rFonts w:cstheme="minorHAnsi"/>
          <w:sz w:val="20"/>
          <w:szCs w:val="20"/>
        </w:rPr>
        <w:t>All offers must be submitted electronically</w:t>
      </w:r>
      <w:r w:rsidR="00776871">
        <w:rPr>
          <w:rFonts w:cstheme="minorHAnsi"/>
          <w:sz w:val="20"/>
          <w:szCs w:val="20"/>
        </w:rPr>
        <w:t xml:space="preserve"> to:</w:t>
      </w:r>
      <w:r w:rsidRPr="008928B6">
        <w:rPr>
          <w:rFonts w:cstheme="minorHAnsi"/>
          <w:sz w:val="20"/>
          <w:szCs w:val="20"/>
        </w:rPr>
        <w:t xml:space="preserve"> </w:t>
      </w:r>
      <w:hyperlink r:id="rId10" w:history="1">
        <w:r w:rsidR="00C677C9" w:rsidRPr="00776871">
          <w:t>tenders@goal.ie</w:t>
        </w:r>
      </w:hyperlink>
      <w:r w:rsidR="001E0A1D">
        <w:rPr>
          <w:rFonts w:cstheme="minorHAnsi"/>
          <w:sz w:val="20"/>
          <w:szCs w:val="20"/>
        </w:rPr>
        <w:t xml:space="preserve"> </w:t>
      </w:r>
    </w:p>
    <w:p w14:paraId="624CA206" w14:textId="6149D738" w:rsidR="008976A2" w:rsidRPr="008928B6" w:rsidRDefault="008976A2" w:rsidP="00DC528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928B6">
        <w:rPr>
          <w:rFonts w:cstheme="minorHAnsi"/>
          <w:sz w:val="20"/>
          <w:szCs w:val="20"/>
        </w:rPr>
        <w:t xml:space="preserve">They must be received no later than </w:t>
      </w:r>
      <w:r w:rsidR="00D976FB">
        <w:rPr>
          <w:rFonts w:cstheme="minorHAnsi"/>
          <w:b/>
          <w:bCs/>
          <w:sz w:val="20"/>
        </w:rPr>
        <w:t>1</w:t>
      </w:r>
      <w:r w:rsidR="0072381A">
        <w:rPr>
          <w:rFonts w:cstheme="minorHAnsi"/>
          <w:b/>
          <w:bCs/>
          <w:sz w:val="20"/>
        </w:rPr>
        <w:t>6</w:t>
      </w:r>
      <w:r w:rsidR="00D976FB" w:rsidRPr="00CF7965">
        <w:rPr>
          <w:rFonts w:cstheme="minorHAnsi"/>
          <w:b/>
          <w:bCs/>
          <w:sz w:val="20"/>
        </w:rPr>
        <w:t xml:space="preserve">th </w:t>
      </w:r>
      <w:r w:rsidR="00D976FB">
        <w:rPr>
          <w:rFonts w:cstheme="minorHAnsi"/>
          <w:b/>
          <w:bCs/>
          <w:sz w:val="20"/>
        </w:rPr>
        <w:t>January</w:t>
      </w:r>
      <w:r w:rsidR="00D976FB" w:rsidRPr="00CF7965">
        <w:rPr>
          <w:rFonts w:cstheme="minorHAnsi"/>
          <w:b/>
          <w:bCs/>
          <w:sz w:val="20"/>
        </w:rPr>
        <w:t xml:space="preserve"> 202</w:t>
      </w:r>
      <w:r w:rsidR="00D976FB">
        <w:rPr>
          <w:rFonts w:cstheme="minorHAnsi"/>
          <w:b/>
          <w:bCs/>
          <w:sz w:val="20"/>
        </w:rPr>
        <w:t>1</w:t>
      </w:r>
      <w:r w:rsidR="00D976FB" w:rsidRPr="00CF7965">
        <w:rPr>
          <w:rFonts w:cstheme="minorHAnsi"/>
          <w:b/>
          <w:bCs/>
          <w:sz w:val="20"/>
        </w:rPr>
        <w:t xml:space="preserve"> </w:t>
      </w:r>
      <w:r w:rsidR="00776871" w:rsidRPr="00776871">
        <w:rPr>
          <w:rFonts w:cstheme="minorHAnsi"/>
          <w:b/>
          <w:bCs/>
          <w:sz w:val="20"/>
          <w:szCs w:val="20"/>
        </w:rPr>
        <w:t>at</w:t>
      </w:r>
      <w:r w:rsidRPr="00776871">
        <w:rPr>
          <w:rFonts w:cstheme="minorHAnsi"/>
          <w:b/>
          <w:bCs/>
          <w:sz w:val="20"/>
          <w:szCs w:val="20"/>
        </w:rPr>
        <w:t xml:space="preserve"> 17.00 East Africa Time</w:t>
      </w:r>
      <w:r w:rsidR="00AB6B0E" w:rsidRPr="008928B6">
        <w:rPr>
          <w:rFonts w:cstheme="minorHAnsi"/>
          <w:sz w:val="20"/>
          <w:szCs w:val="20"/>
        </w:rPr>
        <w:t>.  Any further enquiries may be addressed to</w:t>
      </w:r>
      <w:r w:rsidR="00776871">
        <w:rPr>
          <w:rFonts w:cstheme="minorHAnsi"/>
          <w:sz w:val="20"/>
          <w:szCs w:val="20"/>
        </w:rPr>
        <w:t>:</w:t>
      </w:r>
      <w:r w:rsidR="00AB6B0E" w:rsidRPr="008928B6">
        <w:rPr>
          <w:rFonts w:cstheme="minorHAnsi"/>
          <w:sz w:val="20"/>
          <w:szCs w:val="20"/>
        </w:rPr>
        <w:t xml:space="preserve"> </w:t>
      </w:r>
      <w:hyperlink r:id="rId11" w:history="1">
        <w:r w:rsidR="00C677C9" w:rsidRPr="008124FF">
          <w:rPr>
            <w:rStyle w:val="Hyperlink"/>
            <w:rFonts w:cstheme="minorHAnsi"/>
            <w:sz w:val="20"/>
            <w:szCs w:val="20"/>
          </w:rPr>
          <w:t>tenders@goal.ie</w:t>
        </w:r>
      </w:hyperlink>
      <w:r w:rsidR="00AB6B0E" w:rsidRPr="008928B6">
        <w:rPr>
          <w:rFonts w:cstheme="minorHAnsi"/>
          <w:sz w:val="20"/>
          <w:szCs w:val="20"/>
        </w:rPr>
        <w:t xml:space="preserve"> quoting </w:t>
      </w:r>
      <w:r w:rsidR="005E439C">
        <w:rPr>
          <w:rFonts w:cstheme="minorHAnsi"/>
          <w:sz w:val="20"/>
          <w:szCs w:val="20"/>
        </w:rPr>
        <w:t>GB-W-6</w:t>
      </w:r>
      <w:r w:rsidR="00DC528D">
        <w:rPr>
          <w:rFonts w:cstheme="minorHAnsi"/>
          <w:sz w:val="20"/>
          <w:szCs w:val="20"/>
        </w:rPr>
        <w:t>3</w:t>
      </w:r>
      <w:r w:rsidR="005E439C">
        <w:rPr>
          <w:rFonts w:cstheme="minorHAnsi"/>
          <w:sz w:val="20"/>
          <w:szCs w:val="20"/>
        </w:rPr>
        <w:t>7</w:t>
      </w:r>
      <w:r w:rsidR="00AB6B0E" w:rsidRPr="008928B6">
        <w:rPr>
          <w:rFonts w:cstheme="minorHAnsi"/>
          <w:sz w:val="20"/>
          <w:szCs w:val="20"/>
        </w:rPr>
        <w:t xml:space="preserve"> in the subject line.</w:t>
      </w:r>
    </w:p>
    <w:sectPr w:rsidR="008976A2" w:rsidRPr="008928B6" w:rsidSect="00BF418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2A43"/>
    <w:multiLevelType w:val="hybridMultilevel"/>
    <w:tmpl w:val="12D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87"/>
    <w:rsid w:val="00011F84"/>
    <w:rsid w:val="000407D5"/>
    <w:rsid w:val="00186AC5"/>
    <w:rsid w:val="001B238C"/>
    <w:rsid w:val="001E0A1D"/>
    <w:rsid w:val="00240008"/>
    <w:rsid w:val="00274944"/>
    <w:rsid w:val="002A5497"/>
    <w:rsid w:val="002D34E4"/>
    <w:rsid w:val="00344EDF"/>
    <w:rsid w:val="00365578"/>
    <w:rsid w:val="003A0912"/>
    <w:rsid w:val="003C4346"/>
    <w:rsid w:val="003C53C7"/>
    <w:rsid w:val="003F6FEC"/>
    <w:rsid w:val="0046159D"/>
    <w:rsid w:val="005E439C"/>
    <w:rsid w:val="0061790C"/>
    <w:rsid w:val="006A3003"/>
    <w:rsid w:val="006E4096"/>
    <w:rsid w:val="0072381A"/>
    <w:rsid w:val="007244BC"/>
    <w:rsid w:val="00755545"/>
    <w:rsid w:val="00760768"/>
    <w:rsid w:val="0077316B"/>
    <w:rsid w:val="00776871"/>
    <w:rsid w:val="0078691C"/>
    <w:rsid w:val="00790008"/>
    <w:rsid w:val="007A0472"/>
    <w:rsid w:val="008124FF"/>
    <w:rsid w:val="0088061E"/>
    <w:rsid w:val="008928B6"/>
    <w:rsid w:val="008959A8"/>
    <w:rsid w:val="008976A2"/>
    <w:rsid w:val="00A377D7"/>
    <w:rsid w:val="00A6227D"/>
    <w:rsid w:val="00A64A41"/>
    <w:rsid w:val="00A72ECC"/>
    <w:rsid w:val="00AB6B0E"/>
    <w:rsid w:val="00BA0535"/>
    <w:rsid w:val="00BC65AD"/>
    <w:rsid w:val="00BF4187"/>
    <w:rsid w:val="00C677C9"/>
    <w:rsid w:val="00CA7722"/>
    <w:rsid w:val="00CB6E2B"/>
    <w:rsid w:val="00CD72CA"/>
    <w:rsid w:val="00CE000F"/>
    <w:rsid w:val="00CF7965"/>
    <w:rsid w:val="00D878CB"/>
    <w:rsid w:val="00D976FB"/>
    <w:rsid w:val="00DA2E62"/>
    <w:rsid w:val="00DC528D"/>
    <w:rsid w:val="00EA7391"/>
    <w:rsid w:val="00ED451D"/>
    <w:rsid w:val="00F30CBA"/>
    <w:rsid w:val="00F67AAA"/>
    <w:rsid w:val="00F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FFAC"/>
  <w15:chartTrackingRefBased/>
  <w15:docId w15:val="{8392926C-E074-4F97-9298-58A8D910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ody2">
    <w:name w:val="AC Body 2"/>
    <w:basedOn w:val="Normal"/>
    <w:rsid w:val="00A377D7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ED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5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7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0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0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00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ders@goal.ie" TargetMode="External"/><Relationship Id="rId5" Type="http://schemas.openxmlformats.org/officeDocument/2006/relationships/styles" Target="styles.xml"/><Relationship Id="rId10" Type="http://schemas.openxmlformats.org/officeDocument/2006/relationships/hyperlink" Target="mailto:tenders@goal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alglobal.org/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6ED6CCD896D4B891D9E42AAC13038" ma:contentTypeVersion="9" ma:contentTypeDescription="Create a new document." ma:contentTypeScope="" ma:versionID="b1220c6b26a02e179e1f1e67d27bb5e1">
  <xsd:schema xmlns:xsd="http://www.w3.org/2001/XMLSchema" xmlns:xs="http://www.w3.org/2001/XMLSchema" xmlns:p="http://schemas.microsoft.com/office/2006/metadata/properties" xmlns:ns2="c4be69f3-881a-4609-83c1-c3eadc4a9e80" xmlns:ns3="fe982361-0c24-47c9-9eb4-92041be8c047" targetNamespace="http://schemas.microsoft.com/office/2006/metadata/properties" ma:root="true" ma:fieldsID="509cce45928c8edea61baf5fcb99b542" ns2:_="" ns3:_="">
    <xsd:import namespace="c4be69f3-881a-4609-83c1-c3eadc4a9e80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69f3-881a-4609-83c1-c3eadc4a9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91206-A439-420E-B334-25B82EB9A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C2254-C84C-4ED1-A3C4-2F0BF256FDCD}">
  <ds:schemaRefs>
    <ds:schemaRef ds:uri="http://purl.org/dc/terms/"/>
    <ds:schemaRef ds:uri="http://purl.org/dc/dcmitype/"/>
    <ds:schemaRef ds:uri="http://schemas.microsoft.com/office/2006/documentManagement/types"/>
    <ds:schemaRef ds:uri="c4be69f3-881a-4609-83c1-c3eadc4a9e8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e982361-0c24-47c9-9eb4-92041be8c04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2ED5D2-F8BD-40B0-8305-AA76F11BB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e69f3-881a-4609-83c1-c3eadc4a9e80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Kinzett</dc:creator>
  <cp:keywords/>
  <dc:description/>
  <cp:lastModifiedBy>Franck Hubert</cp:lastModifiedBy>
  <cp:revision>2</cp:revision>
  <dcterms:created xsi:type="dcterms:W3CDTF">2020-12-17T10:37:00Z</dcterms:created>
  <dcterms:modified xsi:type="dcterms:W3CDTF">2020-12-17T10:37:00Z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0x0101000FD6ED6CCD896D4B891D9E42AAC13038</vt:lpwstr>
  </property>
</Properties>
</file>